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8A4365">
      <w:pPr>
        <w:spacing w:line="360" w:lineRule="auto"/>
        <w:jc w:val="center"/>
        <w:rPr>
          <w:rFonts w:hint="eastAsia" w:hAnsi="黑体" w:eastAsia="黑体"/>
          <w:b/>
          <w:sz w:val="32"/>
          <w:szCs w:val="32"/>
          <w:lang w:val="en-US" w:eastAsia="zh-CN"/>
        </w:rPr>
      </w:pPr>
      <w:r>
        <w:rPr>
          <w:rFonts w:hint="eastAsia" w:hAnsi="黑体" w:eastAsia="黑体"/>
          <w:b/>
          <w:sz w:val="32"/>
          <w:szCs w:val="32"/>
          <w:lang w:val="en-US" w:eastAsia="zh-CN"/>
        </w:rPr>
        <w:t>财大康园小区业主委员会康园小区电梯更新改造项目补遗书</w:t>
      </w:r>
    </w:p>
    <w:p w14:paraId="299CBC15">
      <w:pPr>
        <w:spacing w:line="360" w:lineRule="auto"/>
        <w:jc w:val="center"/>
        <w:rPr>
          <w:rFonts w:hint="eastAsia" w:hAnsi="黑体" w:eastAsia="黑体"/>
          <w:b w:val="0"/>
          <w:bCs/>
          <w:sz w:val="24"/>
          <w:szCs w:val="24"/>
          <w:lang w:val="en-US" w:eastAsia="zh-CN"/>
        </w:rPr>
      </w:pPr>
      <w:r>
        <w:rPr>
          <w:rFonts w:hint="eastAsia" w:hAnsi="黑体" w:eastAsia="黑体"/>
          <w:b w:val="0"/>
          <w:bCs/>
          <w:sz w:val="24"/>
          <w:szCs w:val="24"/>
          <w:lang w:val="en-US" w:eastAsia="zh-CN"/>
        </w:rPr>
        <w:t>编号：01号</w:t>
      </w:r>
    </w:p>
    <w:p w14:paraId="27B47D73">
      <w:pPr>
        <w:numPr>
          <w:ilvl w:val="0"/>
          <w:numId w:val="0"/>
        </w:numPr>
        <w:spacing w:line="360" w:lineRule="auto"/>
        <w:ind w:left="0" w:leftChars="0" w:firstLine="315" w:firstLineChars="175"/>
        <w:jc w:val="left"/>
        <w:rPr>
          <w:rFonts w:hint="eastAsia" w:ascii="宋体" w:hAnsi="宋体" w:cs="宋体"/>
          <w:b w:val="0"/>
          <w:bCs/>
          <w:sz w:val="18"/>
          <w:szCs w:val="18"/>
          <w:lang w:val="en-US" w:eastAsia="zh-CN"/>
        </w:rPr>
      </w:pPr>
      <w:r>
        <w:rPr>
          <w:rFonts w:hint="eastAsia" w:ascii="宋体" w:hAnsi="宋体" w:cs="宋体"/>
          <w:b w:val="0"/>
          <w:bCs/>
          <w:sz w:val="18"/>
          <w:szCs w:val="18"/>
          <w:lang w:val="en-US" w:eastAsia="zh-CN"/>
        </w:rPr>
        <w:t>财大康园小区业主委员会康园小区电梯更新改造项目 （项目编号：KCFW-2025-09914 ）已于2025年7月28日发布了更正公告，现对更正后的招标文件做如下补充。</w:t>
      </w:r>
    </w:p>
    <w:p w14:paraId="08B0AF0E">
      <w:pPr>
        <w:numPr>
          <w:ilvl w:val="0"/>
          <w:numId w:val="0"/>
        </w:numPr>
        <w:spacing w:line="360" w:lineRule="auto"/>
        <w:ind w:left="0" w:leftChars="0" w:firstLine="316" w:firstLineChars="175"/>
        <w:jc w:val="left"/>
        <w:rPr>
          <w:rFonts w:hint="default" w:ascii="宋体" w:hAnsi="宋体" w:cs="宋体"/>
          <w:b w:val="0"/>
          <w:bCs/>
          <w:sz w:val="18"/>
          <w:szCs w:val="18"/>
          <w:lang w:val="en-US" w:eastAsia="zh-CN"/>
        </w:rPr>
      </w:pPr>
      <w:r>
        <w:rPr>
          <w:rFonts w:hint="eastAsia" w:ascii="宋体" w:hAnsi="宋体" w:cs="宋体"/>
          <w:b/>
          <w:bCs w:val="0"/>
          <w:sz w:val="18"/>
          <w:szCs w:val="18"/>
          <w:lang w:val="en-US" w:eastAsia="zh-CN"/>
        </w:rPr>
        <w:t>一、更正事项：</w:t>
      </w:r>
      <w:r>
        <w:rPr>
          <w:rFonts w:hint="eastAsia" w:ascii="宋体" w:hAnsi="宋体" w:cs="宋体"/>
          <w:b w:val="0"/>
          <w:bCs/>
          <w:sz w:val="18"/>
          <w:szCs w:val="18"/>
          <w:lang w:val="en-US" w:eastAsia="zh-CN"/>
        </w:rPr>
        <w:t>修改质量要求</w:t>
      </w:r>
    </w:p>
    <w:p w14:paraId="5AADF346">
      <w:pPr>
        <w:numPr>
          <w:ilvl w:val="0"/>
          <w:numId w:val="0"/>
        </w:numPr>
        <w:spacing w:line="360" w:lineRule="auto"/>
        <w:ind w:left="0" w:leftChars="0" w:firstLine="315" w:firstLineChars="175"/>
        <w:jc w:val="left"/>
        <w:rPr>
          <w:rFonts w:hint="default" w:ascii="宋体" w:hAnsi="宋体" w:cs="宋体"/>
          <w:b w:val="0"/>
          <w:bCs/>
          <w:sz w:val="18"/>
          <w:szCs w:val="18"/>
          <w:lang w:val="en-US" w:eastAsia="zh-CN"/>
        </w:rPr>
      </w:pPr>
      <w:r>
        <w:rPr>
          <w:rFonts w:hint="eastAsia" w:ascii="宋体" w:hAnsi="宋体" w:cs="宋体"/>
          <w:b w:val="0"/>
          <w:bCs/>
          <w:sz w:val="18"/>
          <w:szCs w:val="18"/>
          <w:lang w:val="en-US" w:eastAsia="zh-CN"/>
        </w:rPr>
        <w:t>质量要求：</w:t>
      </w:r>
      <w:r>
        <w:rPr>
          <w:rFonts w:hint="default" w:ascii="宋体" w:hAnsi="宋体" w:cs="宋体"/>
          <w:b w:val="0"/>
          <w:bCs/>
          <w:sz w:val="18"/>
          <w:szCs w:val="18"/>
          <w:lang w:val="en-US" w:eastAsia="zh-CN"/>
        </w:rPr>
        <w:t>产品新于《电梯制造与安装安全规范》（GB7588-2003）的企业标准、《电梯安装验收规范》（GB/T10060-2023）、《电梯工程施工质量验收规范》（GB50310-2002）、《电梯维护保养规则》（TSG T5002-2017）及其他国家相关标准及规范要求，质量达到一次性验收合格标准，并取得市场监督管理局的检验合格证。</w:t>
      </w:r>
    </w:p>
    <w:p w14:paraId="626BFA5F">
      <w:pPr>
        <w:numPr>
          <w:ilvl w:val="0"/>
          <w:numId w:val="0"/>
        </w:numPr>
        <w:spacing w:line="360" w:lineRule="auto"/>
        <w:ind w:left="0" w:leftChars="0" w:firstLine="315" w:firstLineChars="175"/>
        <w:jc w:val="left"/>
        <w:rPr>
          <w:rFonts w:hint="eastAsia" w:ascii="宋体" w:hAnsi="宋体" w:cs="宋体"/>
          <w:b w:val="0"/>
          <w:bCs/>
          <w:sz w:val="18"/>
          <w:szCs w:val="18"/>
          <w:lang w:val="en-US" w:eastAsia="zh-CN"/>
        </w:rPr>
      </w:pPr>
      <w:r>
        <w:rPr>
          <w:rFonts w:hint="eastAsia" w:ascii="宋体" w:hAnsi="宋体" w:cs="宋体"/>
          <w:b w:val="0"/>
          <w:bCs/>
          <w:sz w:val="18"/>
          <w:szCs w:val="18"/>
          <w:lang w:val="en-US" w:eastAsia="zh-CN"/>
        </w:rPr>
        <w:t>注：招标文件中质量要求与本补遗书不一致的，均按上述内容调整。</w:t>
      </w:r>
    </w:p>
    <w:p w14:paraId="53259EC7">
      <w:pPr>
        <w:numPr>
          <w:ilvl w:val="0"/>
          <w:numId w:val="0"/>
        </w:numPr>
        <w:spacing w:line="360" w:lineRule="auto"/>
        <w:ind w:left="0" w:leftChars="0" w:firstLine="316" w:firstLineChars="175"/>
        <w:jc w:val="left"/>
        <w:rPr>
          <w:rFonts w:hint="default" w:ascii="宋体" w:hAnsi="宋体" w:cs="宋体"/>
          <w:b w:val="0"/>
          <w:bCs/>
          <w:sz w:val="18"/>
          <w:szCs w:val="18"/>
          <w:lang w:val="en-US" w:eastAsia="zh-CN"/>
        </w:rPr>
      </w:pPr>
      <w:r>
        <w:rPr>
          <w:rFonts w:hint="eastAsia" w:ascii="宋体" w:hAnsi="宋体" w:cs="宋体"/>
          <w:b/>
          <w:bCs w:val="0"/>
          <w:sz w:val="18"/>
          <w:szCs w:val="18"/>
          <w:lang w:val="en-US" w:eastAsia="zh-CN"/>
        </w:rPr>
        <w:t>补充事项:</w:t>
      </w:r>
      <w:r>
        <w:rPr>
          <w:rFonts w:hint="eastAsia" w:ascii="宋体" w:hAnsi="宋体" w:cs="宋体"/>
          <w:b w:val="0"/>
          <w:bCs/>
          <w:sz w:val="18"/>
          <w:szCs w:val="18"/>
          <w:lang w:val="en-US" w:eastAsia="zh-CN"/>
        </w:rPr>
        <w:t>补充本项目的技术标准和要求</w:t>
      </w:r>
    </w:p>
    <w:p w14:paraId="554B3C04">
      <w:pPr>
        <w:rPr>
          <w:sz w:val="18"/>
          <w:szCs w:val="18"/>
        </w:rPr>
      </w:pPr>
      <w:r>
        <w:rPr>
          <w:sz w:val="18"/>
          <w:szCs w:val="18"/>
        </w:rPr>
        <w:t>二、</w:t>
      </w:r>
      <w:r>
        <w:rPr>
          <w:rFonts w:hint="eastAsia"/>
          <w:sz w:val="18"/>
          <w:szCs w:val="18"/>
        </w:rPr>
        <w:t>技术参数</w:t>
      </w:r>
    </w:p>
    <w:tbl>
      <w:tblPr>
        <w:tblStyle w:val="5"/>
        <w:tblpPr w:leftFromText="180" w:rightFromText="180" w:vertAnchor="text" w:horzAnchor="page" w:tblpXSpec="center" w:tblpY="24"/>
        <w:tblOverlap w:val="never"/>
        <w:tblW w:w="9773" w:type="dxa"/>
        <w:tblInd w:w="-2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029"/>
        <w:gridCol w:w="1161"/>
        <w:gridCol w:w="875"/>
        <w:gridCol w:w="1137"/>
        <w:gridCol w:w="1650"/>
        <w:gridCol w:w="1186"/>
        <w:gridCol w:w="909"/>
        <w:gridCol w:w="905"/>
      </w:tblGrid>
      <w:tr w14:paraId="3DA64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" w:type="dxa"/>
            <w:noWrap w:val="0"/>
            <w:vAlign w:val="center"/>
          </w:tcPr>
          <w:p w14:paraId="4327DFA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 元</w:t>
            </w:r>
          </w:p>
        </w:tc>
        <w:tc>
          <w:tcPr>
            <w:tcW w:w="1029" w:type="dxa"/>
            <w:noWrap w:val="0"/>
            <w:vAlign w:val="center"/>
          </w:tcPr>
          <w:p w14:paraId="0F35F3C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层 站</w:t>
            </w:r>
          </w:p>
        </w:tc>
        <w:tc>
          <w:tcPr>
            <w:tcW w:w="1161" w:type="dxa"/>
            <w:noWrap w:val="0"/>
            <w:vAlign w:val="center"/>
          </w:tcPr>
          <w:p w14:paraId="2AAE43AA">
            <w:pPr>
              <w:ind w:firstLine="180" w:firstLineChars="1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载 重</w:t>
            </w:r>
          </w:p>
        </w:tc>
        <w:tc>
          <w:tcPr>
            <w:tcW w:w="875" w:type="dxa"/>
            <w:noWrap w:val="0"/>
            <w:vAlign w:val="center"/>
          </w:tcPr>
          <w:p w14:paraId="63DD46C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底坑深度（mm）</w:t>
            </w:r>
          </w:p>
        </w:tc>
        <w:tc>
          <w:tcPr>
            <w:tcW w:w="1137" w:type="dxa"/>
            <w:noWrap w:val="0"/>
            <w:vAlign w:val="center"/>
          </w:tcPr>
          <w:p w14:paraId="76E5814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开门尺寸（mm）</w:t>
            </w:r>
          </w:p>
        </w:tc>
        <w:tc>
          <w:tcPr>
            <w:tcW w:w="1650" w:type="dxa"/>
            <w:noWrap w:val="0"/>
            <w:vAlign w:val="center"/>
          </w:tcPr>
          <w:p w14:paraId="418B4A5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井道尺寸（mm）</w:t>
            </w:r>
          </w:p>
        </w:tc>
        <w:tc>
          <w:tcPr>
            <w:tcW w:w="1186" w:type="dxa"/>
            <w:noWrap w:val="0"/>
            <w:vAlign w:val="center"/>
          </w:tcPr>
          <w:p w14:paraId="3A2ACE9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服务楼层</w:t>
            </w:r>
          </w:p>
        </w:tc>
        <w:tc>
          <w:tcPr>
            <w:tcW w:w="909" w:type="dxa"/>
            <w:noWrap w:val="0"/>
            <w:vAlign w:val="center"/>
          </w:tcPr>
          <w:p w14:paraId="7C674C2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速度（m/s）</w:t>
            </w:r>
          </w:p>
        </w:tc>
        <w:tc>
          <w:tcPr>
            <w:tcW w:w="905" w:type="dxa"/>
            <w:noWrap w:val="0"/>
            <w:vAlign w:val="center"/>
          </w:tcPr>
          <w:p w14:paraId="37A4CE6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轿厢净高(mm）</w:t>
            </w:r>
          </w:p>
        </w:tc>
      </w:tr>
      <w:tr w14:paraId="473F9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" w:type="dxa"/>
            <w:noWrap w:val="0"/>
            <w:vAlign w:val="center"/>
          </w:tcPr>
          <w:p w14:paraId="2D4F6E1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17栋1单元</w:t>
            </w:r>
          </w:p>
        </w:tc>
        <w:tc>
          <w:tcPr>
            <w:tcW w:w="1029" w:type="dxa"/>
            <w:noWrap w:val="0"/>
            <w:vAlign w:val="center"/>
          </w:tcPr>
          <w:p w14:paraId="57A61FE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12/12/12</w:t>
            </w:r>
          </w:p>
        </w:tc>
        <w:tc>
          <w:tcPr>
            <w:tcW w:w="1161" w:type="dxa"/>
            <w:noWrap w:val="0"/>
            <w:vAlign w:val="center"/>
          </w:tcPr>
          <w:p w14:paraId="26FA564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≥1000KG</w:t>
            </w:r>
          </w:p>
        </w:tc>
        <w:tc>
          <w:tcPr>
            <w:tcW w:w="875" w:type="dxa"/>
            <w:noWrap w:val="0"/>
            <w:vAlign w:val="center"/>
          </w:tcPr>
          <w:p w14:paraId="6F02B7E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1650</w:t>
            </w:r>
          </w:p>
        </w:tc>
        <w:tc>
          <w:tcPr>
            <w:tcW w:w="1137" w:type="dxa"/>
            <w:noWrap w:val="0"/>
            <w:vAlign w:val="center"/>
          </w:tcPr>
          <w:p w14:paraId="3E19C1C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800*2100</w:t>
            </w:r>
          </w:p>
        </w:tc>
        <w:tc>
          <w:tcPr>
            <w:tcW w:w="1650" w:type="dxa"/>
            <w:noWrap w:val="0"/>
            <w:vAlign w:val="center"/>
          </w:tcPr>
          <w:p w14:paraId="245D1EC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宽2330*深1950</w:t>
            </w:r>
          </w:p>
        </w:tc>
        <w:tc>
          <w:tcPr>
            <w:tcW w:w="1186" w:type="dxa"/>
            <w:noWrap w:val="0"/>
            <w:vAlign w:val="center"/>
          </w:tcPr>
          <w:p w14:paraId="36CDB8C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B1F-11F</w:t>
            </w:r>
          </w:p>
        </w:tc>
        <w:tc>
          <w:tcPr>
            <w:tcW w:w="909" w:type="dxa"/>
            <w:noWrap w:val="0"/>
            <w:vAlign w:val="center"/>
          </w:tcPr>
          <w:p w14:paraId="3B0FCC8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1.75</w:t>
            </w:r>
          </w:p>
        </w:tc>
        <w:tc>
          <w:tcPr>
            <w:tcW w:w="905" w:type="dxa"/>
            <w:noWrap w:val="0"/>
            <w:vAlign w:val="center"/>
          </w:tcPr>
          <w:p w14:paraId="5E37339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≥2400</w:t>
            </w:r>
          </w:p>
        </w:tc>
      </w:tr>
      <w:tr w14:paraId="7480F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" w:type="dxa"/>
            <w:noWrap w:val="0"/>
            <w:vAlign w:val="center"/>
          </w:tcPr>
          <w:p w14:paraId="67C20AF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17栋2单元</w:t>
            </w:r>
          </w:p>
        </w:tc>
        <w:tc>
          <w:tcPr>
            <w:tcW w:w="1029" w:type="dxa"/>
            <w:noWrap w:val="0"/>
            <w:vAlign w:val="center"/>
          </w:tcPr>
          <w:p w14:paraId="031E1D7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12/12/12</w:t>
            </w:r>
          </w:p>
        </w:tc>
        <w:tc>
          <w:tcPr>
            <w:tcW w:w="1161" w:type="dxa"/>
            <w:noWrap w:val="0"/>
            <w:vAlign w:val="center"/>
          </w:tcPr>
          <w:p w14:paraId="3CAEA5D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≥1000KG</w:t>
            </w:r>
          </w:p>
        </w:tc>
        <w:tc>
          <w:tcPr>
            <w:tcW w:w="875" w:type="dxa"/>
            <w:noWrap w:val="0"/>
            <w:vAlign w:val="center"/>
          </w:tcPr>
          <w:p w14:paraId="4550CB3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1650</w:t>
            </w:r>
          </w:p>
        </w:tc>
        <w:tc>
          <w:tcPr>
            <w:tcW w:w="1137" w:type="dxa"/>
            <w:noWrap w:val="0"/>
            <w:vAlign w:val="center"/>
          </w:tcPr>
          <w:p w14:paraId="22724C9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800*2100</w:t>
            </w:r>
          </w:p>
        </w:tc>
        <w:tc>
          <w:tcPr>
            <w:tcW w:w="1650" w:type="dxa"/>
            <w:noWrap w:val="0"/>
            <w:vAlign w:val="center"/>
          </w:tcPr>
          <w:p w14:paraId="0878D50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宽2330*深1950</w:t>
            </w:r>
          </w:p>
        </w:tc>
        <w:tc>
          <w:tcPr>
            <w:tcW w:w="1186" w:type="dxa"/>
            <w:noWrap w:val="0"/>
            <w:vAlign w:val="center"/>
          </w:tcPr>
          <w:p w14:paraId="656887C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B1F-11F</w:t>
            </w:r>
          </w:p>
        </w:tc>
        <w:tc>
          <w:tcPr>
            <w:tcW w:w="909" w:type="dxa"/>
            <w:noWrap w:val="0"/>
            <w:vAlign w:val="center"/>
          </w:tcPr>
          <w:p w14:paraId="38E3F37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1.75</w:t>
            </w:r>
          </w:p>
        </w:tc>
        <w:tc>
          <w:tcPr>
            <w:tcW w:w="905" w:type="dxa"/>
            <w:noWrap w:val="0"/>
            <w:vAlign w:val="center"/>
          </w:tcPr>
          <w:p w14:paraId="5473113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≥2400</w:t>
            </w:r>
          </w:p>
        </w:tc>
      </w:tr>
      <w:tr w14:paraId="6F3C2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" w:type="dxa"/>
            <w:noWrap w:val="0"/>
            <w:vAlign w:val="center"/>
          </w:tcPr>
          <w:p w14:paraId="4722B3A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17栋3单元</w:t>
            </w:r>
          </w:p>
        </w:tc>
        <w:tc>
          <w:tcPr>
            <w:tcW w:w="1029" w:type="dxa"/>
            <w:noWrap w:val="0"/>
            <w:vAlign w:val="center"/>
          </w:tcPr>
          <w:p w14:paraId="31897F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12/12/12</w:t>
            </w:r>
          </w:p>
        </w:tc>
        <w:tc>
          <w:tcPr>
            <w:tcW w:w="1161" w:type="dxa"/>
            <w:noWrap w:val="0"/>
            <w:vAlign w:val="center"/>
          </w:tcPr>
          <w:p w14:paraId="7351E51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≥1000KG</w:t>
            </w:r>
          </w:p>
        </w:tc>
        <w:tc>
          <w:tcPr>
            <w:tcW w:w="875" w:type="dxa"/>
            <w:noWrap w:val="0"/>
            <w:vAlign w:val="center"/>
          </w:tcPr>
          <w:p w14:paraId="70BA13E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1650</w:t>
            </w:r>
          </w:p>
        </w:tc>
        <w:tc>
          <w:tcPr>
            <w:tcW w:w="1137" w:type="dxa"/>
            <w:noWrap w:val="0"/>
            <w:vAlign w:val="center"/>
          </w:tcPr>
          <w:p w14:paraId="5DE9CDD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800*2100</w:t>
            </w:r>
          </w:p>
        </w:tc>
        <w:tc>
          <w:tcPr>
            <w:tcW w:w="1650" w:type="dxa"/>
            <w:noWrap w:val="0"/>
            <w:vAlign w:val="center"/>
          </w:tcPr>
          <w:p w14:paraId="5AF6A34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宽2330*深1950</w:t>
            </w:r>
          </w:p>
        </w:tc>
        <w:tc>
          <w:tcPr>
            <w:tcW w:w="1186" w:type="dxa"/>
            <w:noWrap w:val="0"/>
            <w:vAlign w:val="center"/>
          </w:tcPr>
          <w:p w14:paraId="37BB97F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B1F-11F</w:t>
            </w:r>
          </w:p>
        </w:tc>
        <w:tc>
          <w:tcPr>
            <w:tcW w:w="909" w:type="dxa"/>
            <w:noWrap w:val="0"/>
            <w:vAlign w:val="center"/>
          </w:tcPr>
          <w:p w14:paraId="0590D43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1.75</w:t>
            </w:r>
          </w:p>
        </w:tc>
        <w:tc>
          <w:tcPr>
            <w:tcW w:w="905" w:type="dxa"/>
            <w:noWrap w:val="0"/>
            <w:vAlign w:val="center"/>
          </w:tcPr>
          <w:p w14:paraId="032B63D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≥2400</w:t>
            </w:r>
          </w:p>
        </w:tc>
      </w:tr>
      <w:tr w14:paraId="1F301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" w:type="dxa"/>
            <w:noWrap w:val="0"/>
            <w:vAlign w:val="center"/>
          </w:tcPr>
          <w:p w14:paraId="501D2DC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17栋4单元</w:t>
            </w:r>
          </w:p>
        </w:tc>
        <w:tc>
          <w:tcPr>
            <w:tcW w:w="1029" w:type="dxa"/>
            <w:noWrap w:val="0"/>
            <w:vAlign w:val="center"/>
          </w:tcPr>
          <w:p w14:paraId="0AA6264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12/12/12</w:t>
            </w:r>
          </w:p>
        </w:tc>
        <w:tc>
          <w:tcPr>
            <w:tcW w:w="1161" w:type="dxa"/>
            <w:noWrap w:val="0"/>
            <w:vAlign w:val="center"/>
          </w:tcPr>
          <w:p w14:paraId="2F196BB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≥1000KG</w:t>
            </w:r>
          </w:p>
        </w:tc>
        <w:tc>
          <w:tcPr>
            <w:tcW w:w="875" w:type="dxa"/>
            <w:noWrap w:val="0"/>
            <w:vAlign w:val="center"/>
          </w:tcPr>
          <w:p w14:paraId="452DE63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1650</w:t>
            </w:r>
          </w:p>
        </w:tc>
        <w:tc>
          <w:tcPr>
            <w:tcW w:w="1137" w:type="dxa"/>
            <w:noWrap w:val="0"/>
            <w:vAlign w:val="center"/>
          </w:tcPr>
          <w:p w14:paraId="3B2C54E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800*2100</w:t>
            </w:r>
          </w:p>
        </w:tc>
        <w:tc>
          <w:tcPr>
            <w:tcW w:w="1650" w:type="dxa"/>
            <w:noWrap w:val="0"/>
            <w:vAlign w:val="center"/>
          </w:tcPr>
          <w:p w14:paraId="5B24F82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宽2330*深1950</w:t>
            </w:r>
          </w:p>
        </w:tc>
        <w:tc>
          <w:tcPr>
            <w:tcW w:w="1186" w:type="dxa"/>
            <w:noWrap w:val="0"/>
            <w:vAlign w:val="center"/>
          </w:tcPr>
          <w:p w14:paraId="015F96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B1F-11F</w:t>
            </w:r>
          </w:p>
        </w:tc>
        <w:tc>
          <w:tcPr>
            <w:tcW w:w="909" w:type="dxa"/>
            <w:noWrap w:val="0"/>
            <w:vAlign w:val="center"/>
          </w:tcPr>
          <w:p w14:paraId="1F55260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1.75</w:t>
            </w:r>
          </w:p>
        </w:tc>
        <w:tc>
          <w:tcPr>
            <w:tcW w:w="905" w:type="dxa"/>
            <w:noWrap w:val="0"/>
            <w:vAlign w:val="center"/>
          </w:tcPr>
          <w:p w14:paraId="7790A98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≥2400</w:t>
            </w:r>
          </w:p>
        </w:tc>
      </w:tr>
      <w:tr w14:paraId="65EF0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" w:type="dxa"/>
            <w:noWrap w:val="0"/>
            <w:vAlign w:val="center"/>
          </w:tcPr>
          <w:p w14:paraId="014A2B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18栋1单元</w:t>
            </w:r>
          </w:p>
        </w:tc>
        <w:tc>
          <w:tcPr>
            <w:tcW w:w="1029" w:type="dxa"/>
            <w:noWrap w:val="0"/>
            <w:vAlign w:val="center"/>
          </w:tcPr>
          <w:p w14:paraId="36458CA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6/6/6</w:t>
            </w:r>
          </w:p>
        </w:tc>
        <w:tc>
          <w:tcPr>
            <w:tcW w:w="1161" w:type="dxa"/>
            <w:noWrap w:val="0"/>
            <w:vAlign w:val="center"/>
          </w:tcPr>
          <w:p w14:paraId="05D7EF4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≥1000KG</w:t>
            </w:r>
          </w:p>
        </w:tc>
        <w:tc>
          <w:tcPr>
            <w:tcW w:w="875" w:type="dxa"/>
            <w:noWrap w:val="0"/>
            <w:vAlign w:val="center"/>
          </w:tcPr>
          <w:p w14:paraId="4D6A7C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1800</w:t>
            </w:r>
          </w:p>
        </w:tc>
        <w:tc>
          <w:tcPr>
            <w:tcW w:w="1137" w:type="dxa"/>
            <w:noWrap w:val="0"/>
            <w:vAlign w:val="center"/>
          </w:tcPr>
          <w:p w14:paraId="021E2B8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800*2100</w:t>
            </w:r>
          </w:p>
        </w:tc>
        <w:tc>
          <w:tcPr>
            <w:tcW w:w="1650" w:type="dxa"/>
            <w:noWrap w:val="0"/>
            <w:vAlign w:val="center"/>
          </w:tcPr>
          <w:p w14:paraId="0C9FD5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宽2360*深1960</w:t>
            </w:r>
          </w:p>
        </w:tc>
        <w:tc>
          <w:tcPr>
            <w:tcW w:w="1186" w:type="dxa"/>
            <w:noWrap w:val="0"/>
            <w:vAlign w:val="center"/>
          </w:tcPr>
          <w:p w14:paraId="63C7C27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1F-6F</w:t>
            </w:r>
          </w:p>
        </w:tc>
        <w:tc>
          <w:tcPr>
            <w:tcW w:w="909" w:type="dxa"/>
            <w:noWrap w:val="0"/>
            <w:vAlign w:val="center"/>
          </w:tcPr>
          <w:p w14:paraId="79C44EC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1.75</w:t>
            </w:r>
          </w:p>
        </w:tc>
        <w:tc>
          <w:tcPr>
            <w:tcW w:w="905" w:type="dxa"/>
            <w:noWrap w:val="0"/>
            <w:vAlign w:val="center"/>
          </w:tcPr>
          <w:p w14:paraId="2F22F3E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≥2400</w:t>
            </w:r>
          </w:p>
        </w:tc>
      </w:tr>
      <w:tr w14:paraId="65B51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" w:type="dxa"/>
            <w:noWrap w:val="0"/>
            <w:vAlign w:val="center"/>
          </w:tcPr>
          <w:p w14:paraId="2312812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18栋2单元</w:t>
            </w:r>
          </w:p>
        </w:tc>
        <w:tc>
          <w:tcPr>
            <w:tcW w:w="1029" w:type="dxa"/>
            <w:noWrap w:val="0"/>
            <w:vAlign w:val="center"/>
          </w:tcPr>
          <w:p w14:paraId="0C55ACF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6/6/6</w:t>
            </w:r>
          </w:p>
        </w:tc>
        <w:tc>
          <w:tcPr>
            <w:tcW w:w="1161" w:type="dxa"/>
            <w:noWrap w:val="0"/>
            <w:vAlign w:val="center"/>
          </w:tcPr>
          <w:p w14:paraId="45E68BE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≥1000KG</w:t>
            </w:r>
          </w:p>
        </w:tc>
        <w:tc>
          <w:tcPr>
            <w:tcW w:w="875" w:type="dxa"/>
            <w:noWrap w:val="0"/>
            <w:vAlign w:val="center"/>
          </w:tcPr>
          <w:p w14:paraId="41BCC53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1800</w:t>
            </w:r>
          </w:p>
        </w:tc>
        <w:tc>
          <w:tcPr>
            <w:tcW w:w="1137" w:type="dxa"/>
            <w:noWrap w:val="0"/>
            <w:vAlign w:val="center"/>
          </w:tcPr>
          <w:p w14:paraId="161EAEF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800*2100</w:t>
            </w:r>
          </w:p>
        </w:tc>
        <w:tc>
          <w:tcPr>
            <w:tcW w:w="1650" w:type="dxa"/>
            <w:noWrap w:val="0"/>
            <w:vAlign w:val="center"/>
          </w:tcPr>
          <w:p w14:paraId="6A6F393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宽2360*深1960</w:t>
            </w:r>
          </w:p>
        </w:tc>
        <w:tc>
          <w:tcPr>
            <w:tcW w:w="1186" w:type="dxa"/>
            <w:noWrap w:val="0"/>
            <w:vAlign w:val="center"/>
          </w:tcPr>
          <w:p w14:paraId="5ED383E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1F-6F</w:t>
            </w:r>
          </w:p>
        </w:tc>
        <w:tc>
          <w:tcPr>
            <w:tcW w:w="909" w:type="dxa"/>
            <w:noWrap w:val="0"/>
            <w:vAlign w:val="center"/>
          </w:tcPr>
          <w:p w14:paraId="7EA45B6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1.75</w:t>
            </w:r>
          </w:p>
        </w:tc>
        <w:tc>
          <w:tcPr>
            <w:tcW w:w="905" w:type="dxa"/>
            <w:noWrap w:val="0"/>
            <w:vAlign w:val="center"/>
          </w:tcPr>
          <w:p w14:paraId="78E0EEB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≥2400</w:t>
            </w:r>
          </w:p>
        </w:tc>
      </w:tr>
      <w:tr w14:paraId="016B7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" w:type="dxa"/>
            <w:noWrap w:val="0"/>
            <w:vAlign w:val="center"/>
          </w:tcPr>
          <w:p w14:paraId="3FAD630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18栋3单元</w:t>
            </w:r>
          </w:p>
        </w:tc>
        <w:tc>
          <w:tcPr>
            <w:tcW w:w="1029" w:type="dxa"/>
            <w:noWrap w:val="0"/>
            <w:vAlign w:val="center"/>
          </w:tcPr>
          <w:p w14:paraId="55F4FFB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6/6/6</w:t>
            </w:r>
          </w:p>
        </w:tc>
        <w:tc>
          <w:tcPr>
            <w:tcW w:w="1161" w:type="dxa"/>
            <w:noWrap w:val="0"/>
            <w:vAlign w:val="center"/>
          </w:tcPr>
          <w:p w14:paraId="13FF047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≥1000KG</w:t>
            </w:r>
          </w:p>
        </w:tc>
        <w:tc>
          <w:tcPr>
            <w:tcW w:w="875" w:type="dxa"/>
            <w:noWrap w:val="0"/>
            <w:vAlign w:val="center"/>
          </w:tcPr>
          <w:p w14:paraId="7F64EA8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1800</w:t>
            </w:r>
          </w:p>
        </w:tc>
        <w:tc>
          <w:tcPr>
            <w:tcW w:w="1137" w:type="dxa"/>
            <w:noWrap w:val="0"/>
            <w:vAlign w:val="center"/>
          </w:tcPr>
          <w:p w14:paraId="338028E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800*2100</w:t>
            </w:r>
          </w:p>
        </w:tc>
        <w:tc>
          <w:tcPr>
            <w:tcW w:w="1650" w:type="dxa"/>
            <w:noWrap w:val="0"/>
            <w:vAlign w:val="center"/>
          </w:tcPr>
          <w:p w14:paraId="7AC6F15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宽2360*深1960</w:t>
            </w:r>
          </w:p>
        </w:tc>
        <w:tc>
          <w:tcPr>
            <w:tcW w:w="1186" w:type="dxa"/>
            <w:noWrap w:val="0"/>
            <w:vAlign w:val="center"/>
          </w:tcPr>
          <w:p w14:paraId="527B888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1F-6F</w:t>
            </w:r>
          </w:p>
        </w:tc>
        <w:tc>
          <w:tcPr>
            <w:tcW w:w="909" w:type="dxa"/>
            <w:noWrap w:val="0"/>
            <w:vAlign w:val="center"/>
          </w:tcPr>
          <w:p w14:paraId="488BDAB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1.75</w:t>
            </w:r>
          </w:p>
        </w:tc>
        <w:tc>
          <w:tcPr>
            <w:tcW w:w="905" w:type="dxa"/>
            <w:noWrap w:val="0"/>
            <w:vAlign w:val="center"/>
          </w:tcPr>
          <w:p w14:paraId="039E010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≥2400</w:t>
            </w:r>
          </w:p>
        </w:tc>
      </w:tr>
      <w:tr w14:paraId="0A795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" w:type="dxa"/>
            <w:noWrap w:val="0"/>
            <w:vAlign w:val="center"/>
          </w:tcPr>
          <w:p w14:paraId="2DE20DB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19栋1单元</w:t>
            </w:r>
          </w:p>
        </w:tc>
        <w:tc>
          <w:tcPr>
            <w:tcW w:w="1029" w:type="dxa"/>
            <w:noWrap w:val="0"/>
            <w:vAlign w:val="center"/>
          </w:tcPr>
          <w:p w14:paraId="42FF3D5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12/12/12</w:t>
            </w:r>
          </w:p>
        </w:tc>
        <w:tc>
          <w:tcPr>
            <w:tcW w:w="1161" w:type="dxa"/>
            <w:noWrap w:val="0"/>
            <w:vAlign w:val="center"/>
          </w:tcPr>
          <w:p w14:paraId="78FF401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≥1000KG</w:t>
            </w:r>
          </w:p>
        </w:tc>
        <w:tc>
          <w:tcPr>
            <w:tcW w:w="875" w:type="dxa"/>
            <w:noWrap w:val="0"/>
            <w:vAlign w:val="center"/>
          </w:tcPr>
          <w:p w14:paraId="675AA86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1600</w:t>
            </w:r>
          </w:p>
        </w:tc>
        <w:tc>
          <w:tcPr>
            <w:tcW w:w="1137" w:type="dxa"/>
            <w:noWrap w:val="0"/>
            <w:vAlign w:val="center"/>
          </w:tcPr>
          <w:p w14:paraId="42D8677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800*2100</w:t>
            </w:r>
          </w:p>
        </w:tc>
        <w:tc>
          <w:tcPr>
            <w:tcW w:w="1650" w:type="dxa"/>
            <w:noWrap w:val="0"/>
            <w:vAlign w:val="center"/>
          </w:tcPr>
          <w:p w14:paraId="614567F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宽2330*深1950</w:t>
            </w:r>
          </w:p>
        </w:tc>
        <w:tc>
          <w:tcPr>
            <w:tcW w:w="1186" w:type="dxa"/>
            <w:noWrap w:val="0"/>
            <w:vAlign w:val="center"/>
          </w:tcPr>
          <w:p w14:paraId="3011432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B1F-11F</w:t>
            </w:r>
          </w:p>
        </w:tc>
        <w:tc>
          <w:tcPr>
            <w:tcW w:w="909" w:type="dxa"/>
            <w:noWrap w:val="0"/>
            <w:vAlign w:val="center"/>
          </w:tcPr>
          <w:p w14:paraId="14B18A4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1.75</w:t>
            </w:r>
          </w:p>
        </w:tc>
        <w:tc>
          <w:tcPr>
            <w:tcW w:w="905" w:type="dxa"/>
            <w:noWrap w:val="0"/>
            <w:vAlign w:val="center"/>
          </w:tcPr>
          <w:p w14:paraId="3F47B70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≥2400</w:t>
            </w:r>
          </w:p>
        </w:tc>
      </w:tr>
      <w:tr w14:paraId="64D00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" w:type="dxa"/>
            <w:noWrap w:val="0"/>
            <w:vAlign w:val="center"/>
          </w:tcPr>
          <w:p w14:paraId="2195382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19栋2单元</w:t>
            </w:r>
          </w:p>
        </w:tc>
        <w:tc>
          <w:tcPr>
            <w:tcW w:w="1029" w:type="dxa"/>
            <w:noWrap w:val="0"/>
            <w:vAlign w:val="center"/>
          </w:tcPr>
          <w:p w14:paraId="0798A5D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12/12/12</w:t>
            </w:r>
          </w:p>
        </w:tc>
        <w:tc>
          <w:tcPr>
            <w:tcW w:w="1161" w:type="dxa"/>
            <w:noWrap w:val="0"/>
            <w:vAlign w:val="center"/>
          </w:tcPr>
          <w:p w14:paraId="208A1A1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≥1000KG</w:t>
            </w:r>
          </w:p>
        </w:tc>
        <w:tc>
          <w:tcPr>
            <w:tcW w:w="875" w:type="dxa"/>
            <w:noWrap w:val="0"/>
            <w:vAlign w:val="center"/>
          </w:tcPr>
          <w:p w14:paraId="7D5813D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1600</w:t>
            </w:r>
          </w:p>
        </w:tc>
        <w:tc>
          <w:tcPr>
            <w:tcW w:w="1137" w:type="dxa"/>
            <w:noWrap w:val="0"/>
            <w:vAlign w:val="center"/>
          </w:tcPr>
          <w:p w14:paraId="7D24582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800*2100</w:t>
            </w:r>
          </w:p>
        </w:tc>
        <w:tc>
          <w:tcPr>
            <w:tcW w:w="1650" w:type="dxa"/>
            <w:noWrap w:val="0"/>
            <w:vAlign w:val="center"/>
          </w:tcPr>
          <w:p w14:paraId="7EE1435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宽2330*深1950</w:t>
            </w:r>
          </w:p>
        </w:tc>
        <w:tc>
          <w:tcPr>
            <w:tcW w:w="1186" w:type="dxa"/>
            <w:noWrap w:val="0"/>
            <w:vAlign w:val="center"/>
          </w:tcPr>
          <w:p w14:paraId="22B666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B1F-11F</w:t>
            </w:r>
          </w:p>
        </w:tc>
        <w:tc>
          <w:tcPr>
            <w:tcW w:w="909" w:type="dxa"/>
            <w:noWrap w:val="0"/>
            <w:vAlign w:val="center"/>
          </w:tcPr>
          <w:p w14:paraId="63A9006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1.75</w:t>
            </w:r>
          </w:p>
        </w:tc>
        <w:tc>
          <w:tcPr>
            <w:tcW w:w="905" w:type="dxa"/>
            <w:noWrap w:val="0"/>
            <w:vAlign w:val="center"/>
          </w:tcPr>
          <w:p w14:paraId="22C23F4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≥2400</w:t>
            </w:r>
          </w:p>
        </w:tc>
      </w:tr>
      <w:tr w14:paraId="2C45F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" w:type="dxa"/>
            <w:noWrap w:val="0"/>
            <w:vAlign w:val="center"/>
          </w:tcPr>
          <w:p w14:paraId="629C446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19栋3单元</w:t>
            </w:r>
          </w:p>
        </w:tc>
        <w:tc>
          <w:tcPr>
            <w:tcW w:w="1029" w:type="dxa"/>
            <w:noWrap w:val="0"/>
            <w:vAlign w:val="center"/>
          </w:tcPr>
          <w:p w14:paraId="5324B5D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12/12/12</w:t>
            </w:r>
          </w:p>
        </w:tc>
        <w:tc>
          <w:tcPr>
            <w:tcW w:w="1161" w:type="dxa"/>
            <w:noWrap w:val="0"/>
            <w:vAlign w:val="center"/>
          </w:tcPr>
          <w:p w14:paraId="38A9EF2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≥1000KG</w:t>
            </w:r>
          </w:p>
        </w:tc>
        <w:tc>
          <w:tcPr>
            <w:tcW w:w="875" w:type="dxa"/>
            <w:noWrap w:val="0"/>
            <w:vAlign w:val="center"/>
          </w:tcPr>
          <w:p w14:paraId="60DAB0D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1600</w:t>
            </w:r>
          </w:p>
        </w:tc>
        <w:tc>
          <w:tcPr>
            <w:tcW w:w="1137" w:type="dxa"/>
            <w:noWrap w:val="0"/>
            <w:vAlign w:val="center"/>
          </w:tcPr>
          <w:p w14:paraId="1167B09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800*2100</w:t>
            </w:r>
          </w:p>
        </w:tc>
        <w:tc>
          <w:tcPr>
            <w:tcW w:w="1650" w:type="dxa"/>
            <w:noWrap w:val="0"/>
            <w:vAlign w:val="center"/>
          </w:tcPr>
          <w:p w14:paraId="791668D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宽2330*深1950</w:t>
            </w:r>
          </w:p>
        </w:tc>
        <w:tc>
          <w:tcPr>
            <w:tcW w:w="1186" w:type="dxa"/>
            <w:noWrap w:val="0"/>
            <w:vAlign w:val="center"/>
          </w:tcPr>
          <w:p w14:paraId="4F3F3CD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B1F-11F</w:t>
            </w:r>
          </w:p>
        </w:tc>
        <w:tc>
          <w:tcPr>
            <w:tcW w:w="909" w:type="dxa"/>
            <w:noWrap w:val="0"/>
            <w:vAlign w:val="center"/>
          </w:tcPr>
          <w:p w14:paraId="51D761C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1.75</w:t>
            </w:r>
          </w:p>
        </w:tc>
        <w:tc>
          <w:tcPr>
            <w:tcW w:w="905" w:type="dxa"/>
            <w:noWrap w:val="0"/>
            <w:vAlign w:val="center"/>
          </w:tcPr>
          <w:p w14:paraId="6E27D46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≥2400</w:t>
            </w:r>
          </w:p>
        </w:tc>
      </w:tr>
      <w:tr w14:paraId="54B05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" w:type="dxa"/>
            <w:noWrap w:val="0"/>
            <w:vAlign w:val="center"/>
          </w:tcPr>
          <w:p w14:paraId="5242B7A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19栋4单元</w:t>
            </w:r>
          </w:p>
        </w:tc>
        <w:tc>
          <w:tcPr>
            <w:tcW w:w="1029" w:type="dxa"/>
            <w:noWrap w:val="0"/>
            <w:vAlign w:val="center"/>
          </w:tcPr>
          <w:p w14:paraId="5FDEB73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12/12/12</w:t>
            </w:r>
          </w:p>
        </w:tc>
        <w:tc>
          <w:tcPr>
            <w:tcW w:w="1161" w:type="dxa"/>
            <w:noWrap w:val="0"/>
            <w:vAlign w:val="center"/>
          </w:tcPr>
          <w:p w14:paraId="22FF280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≥1000KG</w:t>
            </w:r>
          </w:p>
        </w:tc>
        <w:tc>
          <w:tcPr>
            <w:tcW w:w="875" w:type="dxa"/>
            <w:noWrap w:val="0"/>
            <w:vAlign w:val="center"/>
          </w:tcPr>
          <w:p w14:paraId="6ED2238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1600</w:t>
            </w:r>
          </w:p>
        </w:tc>
        <w:tc>
          <w:tcPr>
            <w:tcW w:w="1137" w:type="dxa"/>
            <w:noWrap w:val="0"/>
            <w:vAlign w:val="center"/>
          </w:tcPr>
          <w:p w14:paraId="18BAA06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800*2100</w:t>
            </w:r>
          </w:p>
        </w:tc>
        <w:tc>
          <w:tcPr>
            <w:tcW w:w="1650" w:type="dxa"/>
            <w:noWrap w:val="0"/>
            <w:vAlign w:val="center"/>
          </w:tcPr>
          <w:p w14:paraId="348FA94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宽2330*深1950</w:t>
            </w:r>
          </w:p>
        </w:tc>
        <w:tc>
          <w:tcPr>
            <w:tcW w:w="1186" w:type="dxa"/>
            <w:noWrap w:val="0"/>
            <w:vAlign w:val="center"/>
          </w:tcPr>
          <w:p w14:paraId="349A99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B1F-11F</w:t>
            </w:r>
          </w:p>
        </w:tc>
        <w:tc>
          <w:tcPr>
            <w:tcW w:w="909" w:type="dxa"/>
            <w:noWrap w:val="0"/>
            <w:vAlign w:val="center"/>
          </w:tcPr>
          <w:p w14:paraId="6A85B22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1.75</w:t>
            </w:r>
          </w:p>
        </w:tc>
        <w:tc>
          <w:tcPr>
            <w:tcW w:w="905" w:type="dxa"/>
            <w:noWrap w:val="0"/>
            <w:vAlign w:val="center"/>
          </w:tcPr>
          <w:p w14:paraId="779902D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≥2400</w:t>
            </w:r>
          </w:p>
        </w:tc>
      </w:tr>
      <w:tr w14:paraId="43D60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" w:type="dxa"/>
            <w:noWrap w:val="0"/>
            <w:vAlign w:val="center"/>
          </w:tcPr>
          <w:p w14:paraId="461D1A1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20栋1单元</w:t>
            </w:r>
          </w:p>
        </w:tc>
        <w:tc>
          <w:tcPr>
            <w:tcW w:w="1029" w:type="dxa"/>
            <w:noWrap w:val="0"/>
            <w:vAlign w:val="center"/>
          </w:tcPr>
          <w:p w14:paraId="77CA7AA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7/7/7</w:t>
            </w:r>
          </w:p>
        </w:tc>
        <w:tc>
          <w:tcPr>
            <w:tcW w:w="1161" w:type="dxa"/>
            <w:noWrap w:val="0"/>
            <w:vAlign w:val="center"/>
          </w:tcPr>
          <w:p w14:paraId="04A623A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≥1000KG</w:t>
            </w:r>
          </w:p>
        </w:tc>
        <w:tc>
          <w:tcPr>
            <w:tcW w:w="875" w:type="dxa"/>
            <w:noWrap w:val="0"/>
            <w:vAlign w:val="center"/>
          </w:tcPr>
          <w:p w14:paraId="493C74F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1600</w:t>
            </w:r>
          </w:p>
        </w:tc>
        <w:tc>
          <w:tcPr>
            <w:tcW w:w="1137" w:type="dxa"/>
            <w:noWrap w:val="0"/>
            <w:vAlign w:val="center"/>
          </w:tcPr>
          <w:p w14:paraId="26D8992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800*2100</w:t>
            </w:r>
          </w:p>
        </w:tc>
        <w:tc>
          <w:tcPr>
            <w:tcW w:w="1650" w:type="dxa"/>
            <w:noWrap w:val="0"/>
            <w:vAlign w:val="center"/>
          </w:tcPr>
          <w:p w14:paraId="16030DF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宽2330*深1960</w:t>
            </w:r>
          </w:p>
        </w:tc>
        <w:tc>
          <w:tcPr>
            <w:tcW w:w="1186" w:type="dxa"/>
            <w:noWrap w:val="0"/>
            <w:vAlign w:val="center"/>
          </w:tcPr>
          <w:p w14:paraId="264B7A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B1F-6F</w:t>
            </w:r>
          </w:p>
        </w:tc>
        <w:tc>
          <w:tcPr>
            <w:tcW w:w="909" w:type="dxa"/>
            <w:noWrap w:val="0"/>
            <w:vAlign w:val="center"/>
          </w:tcPr>
          <w:p w14:paraId="42A3E41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1.75</w:t>
            </w:r>
          </w:p>
        </w:tc>
        <w:tc>
          <w:tcPr>
            <w:tcW w:w="905" w:type="dxa"/>
            <w:noWrap w:val="0"/>
            <w:vAlign w:val="center"/>
          </w:tcPr>
          <w:p w14:paraId="6F67BF5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≥2400</w:t>
            </w:r>
          </w:p>
        </w:tc>
      </w:tr>
      <w:tr w14:paraId="5A9ED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" w:type="dxa"/>
            <w:noWrap w:val="0"/>
            <w:vAlign w:val="center"/>
          </w:tcPr>
          <w:p w14:paraId="647074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20栋2单元</w:t>
            </w:r>
          </w:p>
        </w:tc>
        <w:tc>
          <w:tcPr>
            <w:tcW w:w="1029" w:type="dxa"/>
            <w:noWrap w:val="0"/>
            <w:vAlign w:val="center"/>
          </w:tcPr>
          <w:p w14:paraId="5A7DFDD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7/7/7</w:t>
            </w:r>
          </w:p>
        </w:tc>
        <w:tc>
          <w:tcPr>
            <w:tcW w:w="1161" w:type="dxa"/>
            <w:noWrap w:val="0"/>
            <w:vAlign w:val="center"/>
          </w:tcPr>
          <w:p w14:paraId="06F3EA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≥1000KG</w:t>
            </w:r>
          </w:p>
        </w:tc>
        <w:tc>
          <w:tcPr>
            <w:tcW w:w="875" w:type="dxa"/>
            <w:noWrap w:val="0"/>
            <w:vAlign w:val="center"/>
          </w:tcPr>
          <w:p w14:paraId="7AE348D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1600</w:t>
            </w:r>
          </w:p>
        </w:tc>
        <w:tc>
          <w:tcPr>
            <w:tcW w:w="1137" w:type="dxa"/>
            <w:noWrap w:val="0"/>
            <w:vAlign w:val="center"/>
          </w:tcPr>
          <w:p w14:paraId="22A9C7E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800*2100</w:t>
            </w:r>
          </w:p>
        </w:tc>
        <w:tc>
          <w:tcPr>
            <w:tcW w:w="1650" w:type="dxa"/>
            <w:noWrap w:val="0"/>
            <w:vAlign w:val="center"/>
          </w:tcPr>
          <w:p w14:paraId="3C1B262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宽2330*深1960</w:t>
            </w:r>
          </w:p>
        </w:tc>
        <w:tc>
          <w:tcPr>
            <w:tcW w:w="1186" w:type="dxa"/>
            <w:noWrap w:val="0"/>
            <w:vAlign w:val="center"/>
          </w:tcPr>
          <w:p w14:paraId="4379579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B1F-6F</w:t>
            </w:r>
          </w:p>
        </w:tc>
        <w:tc>
          <w:tcPr>
            <w:tcW w:w="909" w:type="dxa"/>
            <w:noWrap w:val="0"/>
            <w:vAlign w:val="center"/>
          </w:tcPr>
          <w:p w14:paraId="23E96AD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1.75</w:t>
            </w:r>
          </w:p>
        </w:tc>
        <w:tc>
          <w:tcPr>
            <w:tcW w:w="905" w:type="dxa"/>
            <w:noWrap w:val="0"/>
            <w:vAlign w:val="center"/>
          </w:tcPr>
          <w:p w14:paraId="1D819CC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≥2400</w:t>
            </w:r>
          </w:p>
        </w:tc>
      </w:tr>
      <w:tr w14:paraId="76067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" w:type="dxa"/>
            <w:noWrap w:val="0"/>
            <w:vAlign w:val="center"/>
          </w:tcPr>
          <w:p w14:paraId="7E0FD30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20栋3单元</w:t>
            </w:r>
          </w:p>
        </w:tc>
        <w:tc>
          <w:tcPr>
            <w:tcW w:w="1029" w:type="dxa"/>
            <w:noWrap w:val="0"/>
            <w:vAlign w:val="center"/>
          </w:tcPr>
          <w:p w14:paraId="0F420B2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7/7/7</w:t>
            </w:r>
          </w:p>
        </w:tc>
        <w:tc>
          <w:tcPr>
            <w:tcW w:w="1161" w:type="dxa"/>
            <w:noWrap w:val="0"/>
            <w:vAlign w:val="center"/>
          </w:tcPr>
          <w:p w14:paraId="0D3A0C0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≥1000KG</w:t>
            </w:r>
          </w:p>
        </w:tc>
        <w:tc>
          <w:tcPr>
            <w:tcW w:w="875" w:type="dxa"/>
            <w:noWrap w:val="0"/>
            <w:vAlign w:val="center"/>
          </w:tcPr>
          <w:p w14:paraId="27FBD54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1600</w:t>
            </w:r>
          </w:p>
        </w:tc>
        <w:tc>
          <w:tcPr>
            <w:tcW w:w="1137" w:type="dxa"/>
            <w:noWrap w:val="0"/>
            <w:vAlign w:val="center"/>
          </w:tcPr>
          <w:p w14:paraId="06172CA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800*2100</w:t>
            </w:r>
          </w:p>
        </w:tc>
        <w:tc>
          <w:tcPr>
            <w:tcW w:w="1650" w:type="dxa"/>
            <w:noWrap w:val="0"/>
            <w:vAlign w:val="center"/>
          </w:tcPr>
          <w:p w14:paraId="78E0237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宽2330*深1960</w:t>
            </w:r>
          </w:p>
        </w:tc>
        <w:tc>
          <w:tcPr>
            <w:tcW w:w="1186" w:type="dxa"/>
            <w:noWrap w:val="0"/>
            <w:vAlign w:val="center"/>
          </w:tcPr>
          <w:p w14:paraId="1B9541D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B1F-6F</w:t>
            </w:r>
          </w:p>
        </w:tc>
        <w:tc>
          <w:tcPr>
            <w:tcW w:w="909" w:type="dxa"/>
            <w:noWrap w:val="0"/>
            <w:vAlign w:val="center"/>
          </w:tcPr>
          <w:p w14:paraId="1B4AA06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1.75</w:t>
            </w:r>
          </w:p>
        </w:tc>
        <w:tc>
          <w:tcPr>
            <w:tcW w:w="905" w:type="dxa"/>
            <w:noWrap w:val="0"/>
            <w:vAlign w:val="center"/>
          </w:tcPr>
          <w:p w14:paraId="3BE78A2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≥2400</w:t>
            </w:r>
          </w:p>
        </w:tc>
      </w:tr>
      <w:tr w14:paraId="04FA2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" w:type="dxa"/>
            <w:noWrap w:val="0"/>
            <w:vAlign w:val="center"/>
          </w:tcPr>
          <w:p w14:paraId="3A37C0A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20栋4单元</w:t>
            </w:r>
          </w:p>
        </w:tc>
        <w:tc>
          <w:tcPr>
            <w:tcW w:w="1029" w:type="dxa"/>
            <w:noWrap w:val="0"/>
            <w:vAlign w:val="center"/>
          </w:tcPr>
          <w:p w14:paraId="51FD6F0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7/7/7</w:t>
            </w:r>
          </w:p>
        </w:tc>
        <w:tc>
          <w:tcPr>
            <w:tcW w:w="1161" w:type="dxa"/>
            <w:noWrap w:val="0"/>
            <w:vAlign w:val="center"/>
          </w:tcPr>
          <w:p w14:paraId="57C14A4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≥1000KG</w:t>
            </w:r>
          </w:p>
        </w:tc>
        <w:tc>
          <w:tcPr>
            <w:tcW w:w="875" w:type="dxa"/>
            <w:noWrap w:val="0"/>
            <w:vAlign w:val="center"/>
          </w:tcPr>
          <w:p w14:paraId="434E49D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1600</w:t>
            </w:r>
          </w:p>
        </w:tc>
        <w:tc>
          <w:tcPr>
            <w:tcW w:w="1137" w:type="dxa"/>
            <w:noWrap w:val="0"/>
            <w:vAlign w:val="center"/>
          </w:tcPr>
          <w:p w14:paraId="039E4F4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800*2100</w:t>
            </w:r>
          </w:p>
        </w:tc>
        <w:tc>
          <w:tcPr>
            <w:tcW w:w="1650" w:type="dxa"/>
            <w:noWrap w:val="0"/>
            <w:vAlign w:val="center"/>
          </w:tcPr>
          <w:p w14:paraId="5B1DDFD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宽2330*深1960</w:t>
            </w:r>
          </w:p>
        </w:tc>
        <w:tc>
          <w:tcPr>
            <w:tcW w:w="1186" w:type="dxa"/>
            <w:noWrap w:val="0"/>
            <w:vAlign w:val="center"/>
          </w:tcPr>
          <w:p w14:paraId="7C34FD4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B1F-6F</w:t>
            </w:r>
          </w:p>
        </w:tc>
        <w:tc>
          <w:tcPr>
            <w:tcW w:w="909" w:type="dxa"/>
            <w:noWrap w:val="0"/>
            <w:vAlign w:val="center"/>
          </w:tcPr>
          <w:p w14:paraId="0E3C598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1.75</w:t>
            </w:r>
          </w:p>
        </w:tc>
        <w:tc>
          <w:tcPr>
            <w:tcW w:w="905" w:type="dxa"/>
            <w:noWrap w:val="0"/>
            <w:vAlign w:val="center"/>
          </w:tcPr>
          <w:p w14:paraId="7E14D78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≥2400</w:t>
            </w:r>
          </w:p>
        </w:tc>
      </w:tr>
      <w:tr w14:paraId="6BC5E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" w:type="dxa"/>
            <w:noWrap w:val="0"/>
            <w:vAlign w:val="center"/>
          </w:tcPr>
          <w:p w14:paraId="45EC981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21栋1单元</w:t>
            </w:r>
          </w:p>
        </w:tc>
        <w:tc>
          <w:tcPr>
            <w:tcW w:w="1029" w:type="dxa"/>
            <w:noWrap w:val="0"/>
            <w:vAlign w:val="center"/>
          </w:tcPr>
          <w:p w14:paraId="7E12420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12/12/12</w:t>
            </w:r>
          </w:p>
        </w:tc>
        <w:tc>
          <w:tcPr>
            <w:tcW w:w="1161" w:type="dxa"/>
            <w:noWrap w:val="0"/>
            <w:vAlign w:val="center"/>
          </w:tcPr>
          <w:p w14:paraId="21722A3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≥1000KG</w:t>
            </w:r>
          </w:p>
        </w:tc>
        <w:tc>
          <w:tcPr>
            <w:tcW w:w="875" w:type="dxa"/>
            <w:noWrap w:val="0"/>
            <w:vAlign w:val="center"/>
          </w:tcPr>
          <w:p w14:paraId="54FEA5D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1600</w:t>
            </w:r>
          </w:p>
        </w:tc>
        <w:tc>
          <w:tcPr>
            <w:tcW w:w="1137" w:type="dxa"/>
            <w:noWrap w:val="0"/>
            <w:vAlign w:val="center"/>
          </w:tcPr>
          <w:p w14:paraId="4E4ADD5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800*2100</w:t>
            </w:r>
          </w:p>
        </w:tc>
        <w:tc>
          <w:tcPr>
            <w:tcW w:w="1650" w:type="dxa"/>
            <w:noWrap w:val="0"/>
            <w:vAlign w:val="center"/>
          </w:tcPr>
          <w:p w14:paraId="1E9FB6F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宽2330*深1950</w:t>
            </w:r>
          </w:p>
        </w:tc>
        <w:tc>
          <w:tcPr>
            <w:tcW w:w="1186" w:type="dxa"/>
            <w:noWrap w:val="0"/>
            <w:vAlign w:val="center"/>
          </w:tcPr>
          <w:p w14:paraId="4B6613C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B1F-11F</w:t>
            </w:r>
          </w:p>
        </w:tc>
        <w:tc>
          <w:tcPr>
            <w:tcW w:w="909" w:type="dxa"/>
            <w:noWrap w:val="0"/>
            <w:vAlign w:val="center"/>
          </w:tcPr>
          <w:p w14:paraId="03E190D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1.75</w:t>
            </w:r>
          </w:p>
        </w:tc>
        <w:tc>
          <w:tcPr>
            <w:tcW w:w="905" w:type="dxa"/>
            <w:noWrap w:val="0"/>
            <w:vAlign w:val="center"/>
          </w:tcPr>
          <w:p w14:paraId="1889BBE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≥2400</w:t>
            </w:r>
          </w:p>
        </w:tc>
      </w:tr>
      <w:tr w14:paraId="1EA60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" w:type="dxa"/>
            <w:noWrap w:val="0"/>
            <w:vAlign w:val="center"/>
          </w:tcPr>
          <w:p w14:paraId="2B83057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21栋2单元</w:t>
            </w:r>
          </w:p>
        </w:tc>
        <w:tc>
          <w:tcPr>
            <w:tcW w:w="1029" w:type="dxa"/>
            <w:noWrap w:val="0"/>
            <w:vAlign w:val="center"/>
          </w:tcPr>
          <w:p w14:paraId="1A1A7A4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12/12/12</w:t>
            </w:r>
          </w:p>
        </w:tc>
        <w:tc>
          <w:tcPr>
            <w:tcW w:w="1161" w:type="dxa"/>
            <w:noWrap w:val="0"/>
            <w:vAlign w:val="center"/>
          </w:tcPr>
          <w:p w14:paraId="04863E9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≥1000KG</w:t>
            </w:r>
          </w:p>
        </w:tc>
        <w:tc>
          <w:tcPr>
            <w:tcW w:w="875" w:type="dxa"/>
            <w:noWrap w:val="0"/>
            <w:vAlign w:val="center"/>
          </w:tcPr>
          <w:p w14:paraId="0CC450E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1600</w:t>
            </w:r>
          </w:p>
        </w:tc>
        <w:tc>
          <w:tcPr>
            <w:tcW w:w="1137" w:type="dxa"/>
            <w:noWrap w:val="0"/>
            <w:vAlign w:val="center"/>
          </w:tcPr>
          <w:p w14:paraId="4EF8E4D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800*2100</w:t>
            </w:r>
          </w:p>
        </w:tc>
        <w:tc>
          <w:tcPr>
            <w:tcW w:w="1650" w:type="dxa"/>
            <w:noWrap w:val="0"/>
            <w:vAlign w:val="center"/>
          </w:tcPr>
          <w:p w14:paraId="6FB0AA8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宽2330*深1950</w:t>
            </w:r>
          </w:p>
        </w:tc>
        <w:tc>
          <w:tcPr>
            <w:tcW w:w="1186" w:type="dxa"/>
            <w:noWrap w:val="0"/>
            <w:vAlign w:val="center"/>
          </w:tcPr>
          <w:p w14:paraId="7ABDAED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B1F-11F</w:t>
            </w:r>
          </w:p>
        </w:tc>
        <w:tc>
          <w:tcPr>
            <w:tcW w:w="909" w:type="dxa"/>
            <w:noWrap w:val="0"/>
            <w:vAlign w:val="center"/>
          </w:tcPr>
          <w:p w14:paraId="56D6E16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1.75</w:t>
            </w:r>
          </w:p>
        </w:tc>
        <w:tc>
          <w:tcPr>
            <w:tcW w:w="905" w:type="dxa"/>
            <w:noWrap w:val="0"/>
            <w:vAlign w:val="center"/>
          </w:tcPr>
          <w:p w14:paraId="5F677AD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≥2400</w:t>
            </w:r>
          </w:p>
        </w:tc>
      </w:tr>
      <w:tr w14:paraId="43C98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" w:type="dxa"/>
            <w:noWrap w:val="0"/>
            <w:vAlign w:val="center"/>
          </w:tcPr>
          <w:p w14:paraId="35DFDD9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21栋3单元</w:t>
            </w:r>
          </w:p>
        </w:tc>
        <w:tc>
          <w:tcPr>
            <w:tcW w:w="1029" w:type="dxa"/>
            <w:noWrap w:val="0"/>
            <w:vAlign w:val="center"/>
          </w:tcPr>
          <w:p w14:paraId="5BF0E28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12/12/12</w:t>
            </w:r>
          </w:p>
        </w:tc>
        <w:tc>
          <w:tcPr>
            <w:tcW w:w="1161" w:type="dxa"/>
            <w:noWrap w:val="0"/>
            <w:vAlign w:val="center"/>
          </w:tcPr>
          <w:p w14:paraId="30540FA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≥1000KG</w:t>
            </w:r>
          </w:p>
        </w:tc>
        <w:tc>
          <w:tcPr>
            <w:tcW w:w="875" w:type="dxa"/>
            <w:noWrap w:val="0"/>
            <w:vAlign w:val="center"/>
          </w:tcPr>
          <w:p w14:paraId="37B8A0E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1600</w:t>
            </w:r>
          </w:p>
        </w:tc>
        <w:tc>
          <w:tcPr>
            <w:tcW w:w="1137" w:type="dxa"/>
            <w:noWrap w:val="0"/>
            <w:vAlign w:val="center"/>
          </w:tcPr>
          <w:p w14:paraId="465781B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800*2100</w:t>
            </w:r>
          </w:p>
        </w:tc>
        <w:tc>
          <w:tcPr>
            <w:tcW w:w="1650" w:type="dxa"/>
            <w:noWrap w:val="0"/>
            <w:vAlign w:val="center"/>
          </w:tcPr>
          <w:p w14:paraId="1D2AAF6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宽2330*深1950</w:t>
            </w:r>
          </w:p>
        </w:tc>
        <w:tc>
          <w:tcPr>
            <w:tcW w:w="1186" w:type="dxa"/>
            <w:noWrap w:val="0"/>
            <w:vAlign w:val="center"/>
          </w:tcPr>
          <w:p w14:paraId="0072666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B1F-11F</w:t>
            </w:r>
          </w:p>
        </w:tc>
        <w:tc>
          <w:tcPr>
            <w:tcW w:w="909" w:type="dxa"/>
            <w:noWrap w:val="0"/>
            <w:vAlign w:val="center"/>
          </w:tcPr>
          <w:p w14:paraId="2822449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1.75</w:t>
            </w:r>
          </w:p>
        </w:tc>
        <w:tc>
          <w:tcPr>
            <w:tcW w:w="905" w:type="dxa"/>
            <w:noWrap w:val="0"/>
            <w:vAlign w:val="center"/>
          </w:tcPr>
          <w:p w14:paraId="03FA266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≥2400</w:t>
            </w:r>
          </w:p>
        </w:tc>
      </w:tr>
      <w:tr w14:paraId="4FABB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0" w:type="dxa"/>
            <w:gridSpan w:val="2"/>
            <w:noWrap w:val="0"/>
            <w:vAlign w:val="center"/>
          </w:tcPr>
          <w:p w14:paraId="074A9F7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基本配置要求</w:t>
            </w:r>
          </w:p>
        </w:tc>
        <w:tc>
          <w:tcPr>
            <w:tcW w:w="6918" w:type="dxa"/>
            <w:gridSpan w:val="6"/>
            <w:noWrap w:val="0"/>
            <w:vAlign w:val="center"/>
          </w:tcPr>
          <w:p w14:paraId="5F44D16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所有层门1.5mm厚发纹不锈钢，轿厢1.5mm厚发纹不锈钢，轿厢净高≥2400mm，轿厢后壁中间配置镜面不锈钢，两侧壁配备扶手，一体式操纵箱，液晶显示，新装电梯应满足市监特设发【2025】 52号文及附件1和</w:t>
            </w:r>
            <w:r>
              <w:rPr>
                <w:sz w:val="18"/>
                <w:szCs w:val="18"/>
              </w:rPr>
              <w:t>附件</w:t>
            </w:r>
            <w:r>
              <w:rPr>
                <w:rFonts w:hint="eastAsia"/>
                <w:sz w:val="18"/>
                <w:szCs w:val="18"/>
              </w:rPr>
              <w:t>2的</w:t>
            </w:r>
            <w:r>
              <w:rPr>
                <w:sz w:val="18"/>
                <w:szCs w:val="18"/>
              </w:rPr>
              <w:t>相关</w:t>
            </w:r>
            <w:r>
              <w:rPr>
                <w:rFonts w:hint="eastAsia"/>
                <w:sz w:val="18"/>
                <w:szCs w:val="18"/>
              </w:rPr>
              <w:t>要求。</w:t>
            </w:r>
          </w:p>
        </w:tc>
        <w:tc>
          <w:tcPr>
            <w:tcW w:w="905" w:type="dxa"/>
            <w:noWrap w:val="0"/>
            <w:vAlign w:val="center"/>
          </w:tcPr>
          <w:p w14:paraId="24CF9891">
            <w:pPr>
              <w:rPr>
                <w:sz w:val="18"/>
                <w:szCs w:val="18"/>
              </w:rPr>
            </w:pPr>
          </w:p>
        </w:tc>
      </w:tr>
      <w:tr w14:paraId="1095C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0" w:type="dxa"/>
            <w:gridSpan w:val="2"/>
            <w:noWrap w:val="0"/>
            <w:vAlign w:val="center"/>
          </w:tcPr>
          <w:p w14:paraId="3969B5A4">
            <w:pPr>
              <w:ind w:firstLine="180" w:firstLineChars="1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质保期</w:t>
            </w:r>
          </w:p>
        </w:tc>
        <w:tc>
          <w:tcPr>
            <w:tcW w:w="6918" w:type="dxa"/>
            <w:gridSpan w:val="6"/>
            <w:noWrap w:val="0"/>
            <w:vAlign w:val="center"/>
          </w:tcPr>
          <w:p w14:paraId="2E47B5CF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电梯整体质量保证期及</w:t>
            </w:r>
            <w:r>
              <w:rPr>
                <w:sz w:val="18"/>
                <w:szCs w:val="18"/>
              </w:rPr>
              <w:t>免费保养期限</w:t>
            </w:r>
            <w:r>
              <w:rPr>
                <w:rFonts w:hint="eastAsia"/>
                <w:sz w:val="18"/>
                <w:szCs w:val="18"/>
              </w:rPr>
              <w:t>不低于自</w:t>
            </w:r>
            <w:r>
              <w:rPr>
                <w:sz w:val="18"/>
                <w:szCs w:val="18"/>
              </w:rPr>
              <w:t>监督检验合格之日起</w:t>
            </w:r>
            <w:r>
              <w:rPr>
                <w:rFonts w:hint="eastAsia"/>
                <w:sz w:val="18"/>
                <w:szCs w:val="18"/>
              </w:rPr>
              <w:t>2年。新</w:t>
            </w:r>
            <w:r>
              <w:rPr>
                <w:sz w:val="18"/>
                <w:szCs w:val="18"/>
              </w:rPr>
              <w:t>装</w:t>
            </w:r>
            <w:r>
              <w:rPr>
                <w:rFonts w:hint="eastAsia"/>
                <w:sz w:val="18"/>
                <w:szCs w:val="18"/>
              </w:rPr>
              <w:t>电梯的主要部件和安全保护装置质量保证期限不应低于自</w:t>
            </w:r>
            <w:r>
              <w:rPr>
                <w:sz w:val="18"/>
                <w:szCs w:val="18"/>
              </w:rPr>
              <w:t>监督检验合格之日起</w:t>
            </w:r>
            <w:r>
              <w:rPr>
                <w:rFonts w:hint="eastAsia"/>
                <w:sz w:val="18"/>
                <w:szCs w:val="18"/>
              </w:rPr>
              <w:t>5年，且执行《特种设备生产单位落实质量安全主体责任监督管理规定》（2023年4月4日国家市场监督管理总局令第73号）等国家、行业其它有关规定；</w:t>
            </w:r>
          </w:p>
        </w:tc>
        <w:tc>
          <w:tcPr>
            <w:tcW w:w="905" w:type="dxa"/>
            <w:noWrap w:val="0"/>
            <w:vAlign w:val="center"/>
          </w:tcPr>
          <w:p w14:paraId="28C78CDD">
            <w:pPr>
              <w:rPr>
                <w:sz w:val="18"/>
                <w:szCs w:val="18"/>
              </w:rPr>
            </w:pPr>
          </w:p>
        </w:tc>
      </w:tr>
    </w:tbl>
    <w:p w14:paraId="3C950945">
      <w:pPr>
        <w:spacing w:line="360" w:lineRule="auto"/>
        <w:rPr>
          <w:rFonts w:hint="eastAsia" w:ascii="宋体" w:hAnsi="宋体" w:eastAsia="宋体"/>
          <w:b/>
          <w:color w:val="FF0000"/>
          <w:sz w:val="18"/>
          <w:szCs w:val="18"/>
        </w:rPr>
      </w:pPr>
      <w:r>
        <w:rPr>
          <w:rFonts w:hint="eastAsia" w:ascii="宋体" w:hAnsi="宋体" w:eastAsia="宋体"/>
          <w:b/>
          <w:color w:val="FF0000"/>
          <w:sz w:val="18"/>
          <w:szCs w:val="18"/>
        </w:rPr>
        <w:t>注：1、因本项目建筑物已使用多年，且电梯井道已成型，所有门洞均用砖墙封堵，现场井道有可能存在结构梁或立柱凸出、自行预</w:t>
      </w:r>
      <w:bookmarkStart w:id="0" w:name="_GoBack"/>
      <w:bookmarkEnd w:id="0"/>
      <w:r>
        <w:rPr>
          <w:rFonts w:hint="eastAsia" w:ascii="宋体" w:hAnsi="宋体" w:eastAsia="宋体"/>
          <w:b/>
          <w:color w:val="FF0000"/>
          <w:sz w:val="18"/>
          <w:szCs w:val="18"/>
        </w:rPr>
        <w:t>埋承重墩（梁）等情况，投标人应充分考虑合同执行过程中的土建整改、加固、厅门门洞打凿及不锈钢门套回填装修等费用，属于交钥匙工程，投标人一旦中标须承担前述所有费用。</w:t>
      </w:r>
    </w:p>
    <w:p w14:paraId="55A5A154">
      <w:pPr>
        <w:rPr>
          <w:sz w:val="18"/>
          <w:szCs w:val="18"/>
        </w:rPr>
      </w:pPr>
    </w:p>
    <w:p w14:paraId="204BB3F3">
      <w:pPr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br w:type="page"/>
      </w:r>
    </w:p>
    <w:p w14:paraId="4A125468">
      <w:pPr>
        <w:jc w:val="center"/>
        <w:rPr>
          <w:sz w:val="18"/>
          <w:szCs w:val="18"/>
        </w:rPr>
      </w:pPr>
      <w:r>
        <w:rPr>
          <w:rFonts w:hint="eastAsia"/>
          <w:sz w:val="18"/>
          <w:szCs w:val="18"/>
        </w:rPr>
        <w:t>三</w:t>
      </w:r>
      <w:r>
        <w:rPr>
          <w:sz w:val="18"/>
          <w:szCs w:val="18"/>
        </w:rPr>
        <w:t>、电梯功能要求、功能名称、功能描述</w:t>
      </w:r>
    </w:p>
    <w:tbl>
      <w:tblPr>
        <w:tblStyle w:val="5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693"/>
        <w:gridCol w:w="5245"/>
        <w:gridCol w:w="851"/>
      </w:tblGrid>
      <w:tr w14:paraId="4A1EF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09" w:type="dxa"/>
            <w:noWrap w:val="0"/>
            <w:vAlign w:val="center"/>
          </w:tcPr>
          <w:p w14:paraId="3FCDEB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分类</w:t>
            </w:r>
          </w:p>
        </w:tc>
        <w:tc>
          <w:tcPr>
            <w:tcW w:w="2693" w:type="dxa"/>
            <w:noWrap w:val="0"/>
            <w:vAlign w:val="center"/>
          </w:tcPr>
          <w:p w14:paraId="5F07121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功能项</w:t>
            </w:r>
          </w:p>
        </w:tc>
        <w:tc>
          <w:tcPr>
            <w:tcW w:w="5245" w:type="dxa"/>
            <w:noWrap w:val="0"/>
            <w:vAlign w:val="center"/>
          </w:tcPr>
          <w:p w14:paraId="3735F7E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描述</w:t>
            </w:r>
          </w:p>
        </w:tc>
        <w:tc>
          <w:tcPr>
            <w:tcW w:w="851" w:type="dxa"/>
            <w:noWrap w:val="0"/>
            <w:vAlign w:val="center"/>
          </w:tcPr>
          <w:p w14:paraId="43EE94A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说明</w:t>
            </w:r>
          </w:p>
        </w:tc>
      </w:tr>
      <w:tr w14:paraId="5CD70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restart"/>
            <w:noWrap w:val="0"/>
            <w:vAlign w:val="center"/>
          </w:tcPr>
          <w:p w14:paraId="3D804C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控 制 和 安 全 保 护</w:t>
            </w:r>
          </w:p>
        </w:tc>
        <w:tc>
          <w:tcPr>
            <w:tcW w:w="2693" w:type="dxa"/>
            <w:noWrap w:val="0"/>
            <w:vAlign w:val="center"/>
          </w:tcPr>
          <w:p w14:paraId="4EDFCE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自动再平层</w:t>
            </w:r>
          </w:p>
        </w:tc>
        <w:tc>
          <w:tcPr>
            <w:tcW w:w="5245" w:type="dxa"/>
            <w:noWrap w:val="0"/>
            <w:vAlign w:val="center"/>
          </w:tcPr>
          <w:p w14:paraId="13A023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按国家相关规范</w:t>
            </w:r>
          </w:p>
        </w:tc>
        <w:tc>
          <w:tcPr>
            <w:tcW w:w="851" w:type="dxa"/>
            <w:noWrap w:val="0"/>
            <w:vAlign w:val="center"/>
          </w:tcPr>
          <w:p w14:paraId="6D767B20">
            <w:pPr>
              <w:rPr>
                <w:sz w:val="18"/>
                <w:szCs w:val="18"/>
              </w:rPr>
            </w:pPr>
          </w:p>
        </w:tc>
      </w:tr>
      <w:tr w14:paraId="3D67D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54BDE73E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7173AF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电梯受阻失速保护</w:t>
            </w:r>
          </w:p>
        </w:tc>
        <w:tc>
          <w:tcPr>
            <w:tcW w:w="5245" w:type="dxa"/>
            <w:noWrap w:val="0"/>
            <w:vAlign w:val="center"/>
          </w:tcPr>
          <w:p w14:paraId="12DE42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当曳引钢丝绳打滑达到预定时间时，电梯停止运行。</w:t>
            </w:r>
          </w:p>
        </w:tc>
        <w:tc>
          <w:tcPr>
            <w:tcW w:w="851" w:type="dxa"/>
            <w:noWrap w:val="0"/>
            <w:vAlign w:val="center"/>
          </w:tcPr>
          <w:p w14:paraId="088840E2">
            <w:pPr>
              <w:rPr>
                <w:sz w:val="18"/>
                <w:szCs w:val="18"/>
              </w:rPr>
            </w:pPr>
          </w:p>
        </w:tc>
      </w:tr>
      <w:tr w14:paraId="1BC31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6BA89127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6573D9A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制动器冗余保护</w:t>
            </w:r>
          </w:p>
        </w:tc>
        <w:tc>
          <w:tcPr>
            <w:tcW w:w="5245" w:type="dxa"/>
            <w:noWrap w:val="0"/>
            <w:vAlign w:val="center"/>
          </w:tcPr>
          <w:p w14:paraId="69D9237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当一组制动器发生故障时，其余制动器也可以实现电梯有效制动。</w:t>
            </w:r>
          </w:p>
        </w:tc>
        <w:tc>
          <w:tcPr>
            <w:tcW w:w="851" w:type="dxa"/>
            <w:noWrap w:val="0"/>
            <w:vAlign w:val="center"/>
          </w:tcPr>
          <w:p w14:paraId="2A2B631F">
            <w:pPr>
              <w:rPr>
                <w:sz w:val="18"/>
                <w:szCs w:val="18"/>
              </w:rPr>
            </w:pPr>
          </w:p>
        </w:tc>
      </w:tr>
      <w:tr w14:paraId="76455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275AB9F3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6E0359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全集选</w:t>
            </w:r>
          </w:p>
        </w:tc>
        <w:tc>
          <w:tcPr>
            <w:tcW w:w="5245" w:type="dxa"/>
            <w:noWrap w:val="0"/>
            <w:vAlign w:val="center"/>
          </w:tcPr>
          <w:p w14:paraId="1D148C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全集选运行控制功能。</w:t>
            </w:r>
          </w:p>
        </w:tc>
        <w:tc>
          <w:tcPr>
            <w:tcW w:w="851" w:type="dxa"/>
            <w:noWrap w:val="0"/>
            <w:vAlign w:val="center"/>
          </w:tcPr>
          <w:p w14:paraId="01F3FC86">
            <w:pPr>
              <w:rPr>
                <w:sz w:val="18"/>
                <w:szCs w:val="18"/>
              </w:rPr>
            </w:pPr>
          </w:p>
        </w:tc>
      </w:tr>
      <w:tr w14:paraId="3C1FC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6A9331CD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15D988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电气安全回路保护</w:t>
            </w:r>
          </w:p>
        </w:tc>
        <w:tc>
          <w:tcPr>
            <w:tcW w:w="5245" w:type="dxa"/>
            <w:noWrap w:val="0"/>
            <w:vAlign w:val="center"/>
          </w:tcPr>
          <w:p w14:paraId="287F5EB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串联在一起的电器安全装置一旦动作，则阻止电梯运行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3D0D76A8">
            <w:pPr>
              <w:rPr>
                <w:sz w:val="18"/>
                <w:szCs w:val="18"/>
              </w:rPr>
            </w:pPr>
          </w:p>
        </w:tc>
      </w:tr>
      <w:tr w14:paraId="0FA45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180311D9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7FB249E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层高自测定</w:t>
            </w:r>
          </w:p>
        </w:tc>
        <w:tc>
          <w:tcPr>
            <w:tcW w:w="5245" w:type="dxa"/>
            <w:noWrap w:val="0"/>
            <w:vAlign w:val="center"/>
          </w:tcPr>
          <w:p w14:paraId="002A89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自动测量并记录层高数据。</w:t>
            </w:r>
          </w:p>
        </w:tc>
        <w:tc>
          <w:tcPr>
            <w:tcW w:w="851" w:type="dxa"/>
            <w:noWrap w:val="0"/>
            <w:vAlign w:val="center"/>
          </w:tcPr>
          <w:p w14:paraId="6853D74E">
            <w:pPr>
              <w:rPr>
                <w:sz w:val="18"/>
                <w:szCs w:val="18"/>
              </w:rPr>
            </w:pPr>
          </w:p>
        </w:tc>
      </w:tr>
      <w:tr w14:paraId="2A84E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551499C7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3BF0BB4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检修操作</w:t>
            </w:r>
          </w:p>
        </w:tc>
        <w:tc>
          <w:tcPr>
            <w:tcW w:w="5245" w:type="dxa"/>
            <w:noWrap w:val="0"/>
            <w:vAlign w:val="center"/>
          </w:tcPr>
          <w:p w14:paraId="7AE21DA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供维修人员使用的检修运行模式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3787EAEF">
            <w:pPr>
              <w:rPr>
                <w:sz w:val="18"/>
                <w:szCs w:val="18"/>
              </w:rPr>
            </w:pPr>
          </w:p>
        </w:tc>
      </w:tr>
      <w:tr w14:paraId="56267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0D6202A2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7D38C5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故障自动存储功能</w:t>
            </w:r>
          </w:p>
        </w:tc>
        <w:tc>
          <w:tcPr>
            <w:tcW w:w="5245" w:type="dxa"/>
            <w:noWrap w:val="0"/>
            <w:vAlign w:val="center"/>
          </w:tcPr>
          <w:p w14:paraId="18F28A0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当有故障发生时，电梯可以自动存储故障发生的资料，方使维修保养工作。</w:t>
            </w:r>
          </w:p>
        </w:tc>
        <w:tc>
          <w:tcPr>
            <w:tcW w:w="851" w:type="dxa"/>
            <w:noWrap w:val="0"/>
            <w:vAlign w:val="center"/>
          </w:tcPr>
          <w:p w14:paraId="40599128">
            <w:pPr>
              <w:rPr>
                <w:sz w:val="18"/>
                <w:szCs w:val="18"/>
              </w:rPr>
            </w:pPr>
          </w:p>
        </w:tc>
      </w:tr>
      <w:tr w14:paraId="05B98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2C05726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1AD733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称重启动(或起动力矩补偿 )</w:t>
            </w:r>
          </w:p>
        </w:tc>
        <w:tc>
          <w:tcPr>
            <w:tcW w:w="5245" w:type="dxa"/>
            <w:noWrap w:val="0"/>
            <w:vAlign w:val="center"/>
          </w:tcPr>
          <w:p w14:paraId="6E624F9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电梯根据轿厢内的负载，调整启动力矩(或通过力矩补偿给予优化),以使电梯启动平稳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5EC4A4D2">
            <w:pPr>
              <w:rPr>
                <w:sz w:val="18"/>
                <w:szCs w:val="18"/>
              </w:rPr>
            </w:pPr>
          </w:p>
        </w:tc>
      </w:tr>
      <w:tr w14:paraId="2ADC4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63B8EEEA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4813C7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过电流保护</w:t>
            </w:r>
          </w:p>
        </w:tc>
        <w:tc>
          <w:tcPr>
            <w:tcW w:w="5245" w:type="dxa"/>
            <w:noWrap w:val="0"/>
            <w:vAlign w:val="center"/>
          </w:tcPr>
          <w:p w14:paraId="7184F3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检测到整流装置或逆变装置电流过大，则停止电梯运行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33A38AF1">
            <w:pPr>
              <w:rPr>
                <w:sz w:val="18"/>
                <w:szCs w:val="18"/>
              </w:rPr>
            </w:pPr>
          </w:p>
        </w:tc>
      </w:tr>
      <w:tr w14:paraId="4AD76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tcBorders>
              <w:bottom w:val="nil"/>
            </w:tcBorders>
            <w:noWrap w:val="0"/>
            <w:vAlign w:val="center"/>
          </w:tcPr>
          <w:p w14:paraId="119CA61E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4D806A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超速保护</w:t>
            </w:r>
          </w:p>
        </w:tc>
        <w:tc>
          <w:tcPr>
            <w:tcW w:w="5245" w:type="dxa"/>
            <w:noWrap w:val="0"/>
            <w:vAlign w:val="center"/>
          </w:tcPr>
          <w:p w14:paraId="55220C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检测到运行速度超出允许值时，则停止电梯运行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2D03762E">
            <w:pPr>
              <w:rPr>
                <w:sz w:val="18"/>
                <w:szCs w:val="18"/>
              </w:rPr>
            </w:pPr>
          </w:p>
        </w:tc>
      </w:tr>
      <w:tr w14:paraId="59D57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tcBorders>
              <w:top w:val="nil"/>
              <w:bottom w:val="nil"/>
            </w:tcBorders>
            <w:noWrap w:val="0"/>
            <w:vAlign w:val="center"/>
          </w:tcPr>
          <w:p w14:paraId="7A4C1B2A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71D1E65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电机过热保护</w:t>
            </w:r>
          </w:p>
        </w:tc>
        <w:tc>
          <w:tcPr>
            <w:tcW w:w="5245" w:type="dxa"/>
            <w:noWrap w:val="0"/>
            <w:vAlign w:val="center"/>
          </w:tcPr>
          <w:p w14:paraId="4C7368A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检测到电机过热，则停止电梯运行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1EB228C5">
            <w:pPr>
              <w:rPr>
                <w:sz w:val="18"/>
                <w:szCs w:val="18"/>
              </w:rPr>
            </w:pPr>
          </w:p>
        </w:tc>
      </w:tr>
      <w:tr w14:paraId="1ABBB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tcBorders>
              <w:top w:val="nil"/>
              <w:bottom w:val="nil"/>
            </w:tcBorders>
            <w:noWrap w:val="0"/>
            <w:vAlign w:val="center"/>
          </w:tcPr>
          <w:p w14:paraId="0B75D68B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5884978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过电压保护</w:t>
            </w:r>
          </w:p>
        </w:tc>
        <w:tc>
          <w:tcPr>
            <w:tcW w:w="5245" w:type="dxa"/>
            <w:noWrap w:val="0"/>
            <w:vAlign w:val="center"/>
          </w:tcPr>
          <w:p w14:paraId="1469F9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检测到整流装置或逆变装置电压过高，则停止电梯运行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51EA8BE1">
            <w:pPr>
              <w:rPr>
                <w:sz w:val="18"/>
                <w:szCs w:val="18"/>
              </w:rPr>
            </w:pPr>
          </w:p>
        </w:tc>
      </w:tr>
      <w:tr w14:paraId="4D32E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tcBorders>
              <w:top w:val="nil"/>
              <w:bottom w:val="nil"/>
            </w:tcBorders>
            <w:noWrap w:val="0"/>
            <w:vAlign w:val="center"/>
          </w:tcPr>
          <w:p w14:paraId="4C9D7275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25A872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电源故障保护</w:t>
            </w:r>
          </w:p>
        </w:tc>
        <w:tc>
          <w:tcPr>
            <w:tcW w:w="5245" w:type="dxa"/>
            <w:noWrap w:val="0"/>
            <w:vAlign w:val="center"/>
          </w:tcPr>
          <w:p w14:paraId="61885C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电源发生缺断相、欠压等故障时，则停止电梯运行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751F9264">
            <w:pPr>
              <w:rPr>
                <w:sz w:val="18"/>
                <w:szCs w:val="18"/>
              </w:rPr>
            </w:pPr>
          </w:p>
        </w:tc>
      </w:tr>
      <w:tr w14:paraId="2DE2E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tcBorders>
              <w:top w:val="nil"/>
              <w:bottom w:val="nil"/>
            </w:tcBorders>
            <w:noWrap w:val="0"/>
            <w:vAlign w:val="center"/>
          </w:tcPr>
          <w:p w14:paraId="65DA7127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5A864D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上电再平层</w:t>
            </w:r>
          </w:p>
        </w:tc>
        <w:tc>
          <w:tcPr>
            <w:tcW w:w="5245" w:type="dxa"/>
            <w:noWrap w:val="0"/>
            <w:vAlign w:val="center"/>
          </w:tcPr>
          <w:p w14:paraId="61D25A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由于断电引起轿厢停在门区范围内，当电源恢复后轿</w:t>
            </w:r>
            <w:r>
              <w:rPr>
                <w:rFonts w:hint="eastAsia"/>
                <w:sz w:val="18"/>
                <w:szCs w:val="18"/>
              </w:rPr>
              <w:t>厢</w:t>
            </w:r>
            <w:r>
              <w:rPr>
                <w:sz w:val="18"/>
                <w:szCs w:val="18"/>
              </w:rPr>
              <w:t>将再平层到平层位置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4BA6E305">
            <w:pPr>
              <w:rPr>
                <w:sz w:val="18"/>
                <w:szCs w:val="18"/>
              </w:rPr>
            </w:pPr>
          </w:p>
        </w:tc>
      </w:tr>
      <w:tr w14:paraId="79ABA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tcBorders>
              <w:top w:val="nil"/>
              <w:bottom w:val="nil"/>
            </w:tcBorders>
            <w:noWrap w:val="0"/>
            <w:vAlign w:val="center"/>
          </w:tcPr>
          <w:p w14:paraId="3CDC5D56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3C35350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逆行保护</w:t>
            </w:r>
          </w:p>
        </w:tc>
        <w:tc>
          <w:tcPr>
            <w:tcW w:w="5245" w:type="dxa"/>
            <w:noWrap w:val="0"/>
            <w:vAlign w:val="center"/>
          </w:tcPr>
          <w:p w14:paraId="13C44B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检测到电梯逆行，则停止电梯运行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3CC5F28F">
            <w:pPr>
              <w:rPr>
                <w:sz w:val="18"/>
                <w:szCs w:val="18"/>
              </w:rPr>
            </w:pPr>
          </w:p>
        </w:tc>
      </w:tr>
      <w:tr w14:paraId="15183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tcBorders>
              <w:top w:val="nil"/>
              <w:bottom w:val="nil"/>
            </w:tcBorders>
            <w:noWrap w:val="0"/>
            <w:vAlign w:val="center"/>
          </w:tcPr>
          <w:p w14:paraId="64C6DCDB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632587C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限速器安全触点</w:t>
            </w:r>
          </w:p>
        </w:tc>
        <w:tc>
          <w:tcPr>
            <w:tcW w:w="5245" w:type="dxa"/>
            <w:noWrap w:val="0"/>
            <w:vAlign w:val="center"/>
          </w:tcPr>
          <w:p w14:paraId="4F3B4FF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限速器装有安全触点，如果速度超过值时会使电梯停止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24C9CEA6">
            <w:pPr>
              <w:rPr>
                <w:sz w:val="18"/>
                <w:szCs w:val="18"/>
              </w:rPr>
            </w:pPr>
          </w:p>
        </w:tc>
      </w:tr>
      <w:tr w14:paraId="0190B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tcBorders>
              <w:top w:val="nil"/>
              <w:bottom w:val="nil"/>
            </w:tcBorders>
            <w:noWrap w:val="0"/>
            <w:vAlign w:val="center"/>
          </w:tcPr>
          <w:p w14:paraId="19D6E5A1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7626C59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安全停靠</w:t>
            </w:r>
          </w:p>
        </w:tc>
        <w:tc>
          <w:tcPr>
            <w:tcW w:w="5245" w:type="dxa"/>
            <w:noWrap w:val="0"/>
            <w:vAlign w:val="center"/>
          </w:tcPr>
          <w:p w14:paraId="5BF9DE6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电梯因故停在门区外时，控制器进行安全检测，若符合启动要求，则电梯就近停层开门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5BE2EBF3">
            <w:pPr>
              <w:rPr>
                <w:sz w:val="18"/>
                <w:szCs w:val="18"/>
              </w:rPr>
            </w:pPr>
          </w:p>
        </w:tc>
      </w:tr>
      <w:tr w14:paraId="4DD6C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tcBorders>
              <w:top w:val="nil"/>
              <w:bottom w:val="nil"/>
            </w:tcBorders>
            <w:noWrap w:val="0"/>
            <w:vAlign w:val="center"/>
          </w:tcPr>
          <w:p w14:paraId="3D94CFEE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0A8386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停层开门</w:t>
            </w:r>
          </w:p>
        </w:tc>
        <w:tc>
          <w:tcPr>
            <w:tcW w:w="5245" w:type="dxa"/>
            <w:noWrap w:val="0"/>
            <w:vAlign w:val="center"/>
          </w:tcPr>
          <w:p w14:paraId="39A46A9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电梯停层后自动开门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09AC447A">
            <w:pPr>
              <w:rPr>
                <w:sz w:val="18"/>
                <w:szCs w:val="18"/>
              </w:rPr>
            </w:pPr>
          </w:p>
        </w:tc>
      </w:tr>
      <w:tr w14:paraId="1AD84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tcBorders>
              <w:top w:val="nil"/>
              <w:bottom w:val="nil"/>
            </w:tcBorders>
            <w:noWrap w:val="0"/>
            <w:vAlign w:val="center"/>
          </w:tcPr>
          <w:p w14:paraId="0F07F911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12F232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逆变装置高温检测</w:t>
            </w:r>
          </w:p>
        </w:tc>
        <w:tc>
          <w:tcPr>
            <w:tcW w:w="5245" w:type="dxa"/>
            <w:noWrap w:val="0"/>
            <w:vAlign w:val="center"/>
          </w:tcPr>
          <w:p w14:paraId="581FA15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检测到逆变装置过热，则停止电梯运行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6258A0EA">
            <w:pPr>
              <w:rPr>
                <w:sz w:val="18"/>
                <w:szCs w:val="18"/>
              </w:rPr>
            </w:pPr>
          </w:p>
        </w:tc>
      </w:tr>
      <w:tr w14:paraId="381EE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tcBorders>
              <w:top w:val="nil"/>
              <w:bottom w:val="nil"/>
            </w:tcBorders>
            <w:noWrap w:val="0"/>
            <w:vAlign w:val="center"/>
          </w:tcPr>
          <w:p w14:paraId="19594063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6869C5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终端强制减速</w:t>
            </w:r>
          </w:p>
        </w:tc>
        <w:tc>
          <w:tcPr>
            <w:tcW w:w="5245" w:type="dxa"/>
            <w:noWrap w:val="0"/>
            <w:vAlign w:val="center"/>
          </w:tcPr>
          <w:p w14:paraId="1E5186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若轿厢运行到终端而速度还未减到规定值时，系统强制减速，以使轿厢正常平层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2A8547EB">
            <w:pPr>
              <w:rPr>
                <w:sz w:val="18"/>
                <w:szCs w:val="18"/>
              </w:rPr>
            </w:pPr>
          </w:p>
        </w:tc>
      </w:tr>
      <w:tr w14:paraId="132F2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tcBorders>
              <w:top w:val="nil"/>
              <w:bottom w:val="nil"/>
            </w:tcBorders>
            <w:noWrap w:val="0"/>
            <w:vAlign w:val="center"/>
          </w:tcPr>
          <w:p w14:paraId="69FB44CE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010A9AA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轿厢防</w:t>
            </w:r>
            <w:r>
              <w:rPr>
                <w:rFonts w:hint="eastAsia"/>
                <w:sz w:val="18"/>
                <w:szCs w:val="18"/>
              </w:rPr>
              <w:t>轿厢意外移动</w:t>
            </w:r>
            <w:r>
              <w:rPr>
                <w:sz w:val="18"/>
                <w:szCs w:val="18"/>
              </w:rPr>
              <w:t>装置</w:t>
            </w:r>
          </w:p>
        </w:tc>
        <w:tc>
          <w:tcPr>
            <w:tcW w:w="5245" w:type="dxa"/>
            <w:noWrap w:val="0"/>
            <w:vAlign w:val="center"/>
          </w:tcPr>
          <w:p w14:paraId="0AFCD5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防止轿厢意外移动保护功能装置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0757F76B">
            <w:pPr>
              <w:rPr>
                <w:sz w:val="18"/>
                <w:szCs w:val="18"/>
              </w:rPr>
            </w:pPr>
          </w:p>
        </w:tc>
      </w:tr>
      <w:tr w14:paraId="5C5A4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tcBorders>
              <w:top w:val="nil"/>
              <w:bottom w:val="nil"/>
            </w:tcBorders>
            <w:noWrap w:val="0"/>
            <w:vAlign w:val="center"/>
          </w:tcPr>
          <w:p w14:paraId="280D58FA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17593A0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厅门防撞装置</w:t>
            </w:r>
          </w:p>
        </w:tc>
        <w:tc>
          <w:tcPr>
            <w:tcW w:w="5245" w:type="dxa"/>
            <w:noWrap w:val="0"/>
            <w:vAlign w:val="center"/>
          </w:tcPr>
          <w:p w14:paraId="14FABF7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厅门强度加强及防意外撞击保护装置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13EF2488">
            <w:pPr>
              <w:rPr>
                <w:sz w:val="18"/>
                <w:szCs w:val="18"/>
              </w:rPr>
            </w:pPr>
          </w:p>
        </w:tc>
      </w:tr>
      <w:tr w14:paraId="764B7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26A4DA73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67C0324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轿门锁</w:t>
            </w:r>
          </w:p>
        </w:tc>
        <w:tc>
          <w:tcPr>
            <w:tcW w:w="5245" w:type="dxa"/>
            <w:noWrap w:val="0"/>
            <w:vAlign w:val="center"/>
          </w:tcPr>
          <w:p w14:paraId="78F7CE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轿门防扒保护装置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3C63927D">
            <w:pPr>
              <w:rPr>
                <w:sz w:val="18"/>
                <w:szCs w:val="18"/>
              </w:rPr>
            </w:pPr>
          </w:p>
        </w:tc>
      </w:tr>
      <w:tr w14:paraId="52895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25397A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操 作 和 服 务</w:t>
            </w:r>
          </w:p>
        </w:tc>
        <w:tc>
          <w:tcPr>
            <w:tcW w:w="2693" w:type="dxa"/>
            <w:noWrap w:val="0"/>
            <w:vAlign w:val="center"/>
          </w:tcPr>
          <w:p w14:paraId="5F6EB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满员自通过</w:t>
            </w:r>
          </w:p>
        </w:tc>
        <w:tc>
          <w:tcPr>
            <w:tcW w:w="5245" w:type="dxa"/>
            <w:noWrap w:val="0"/>
            <w:vAlign w:val="center"/>
          </w:tcPr>
          <w:p w14:paraId="1D128B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桥厢载荷超过额定载重80%(可以调整)时，电梯不响应沿途的层站召唤。</w:t>
            </w:r>
          </w:p>
        </w:tc>
        <w:tc>
          <w:tcPr>
            <w:tcW w:w="851" w:type="dxa"/>
            <w:noWrap w:val="0"/>
            <w:vAlign w:val="center"/>
          </w:tcPr>
          <w:p w14:paraId="39AECA1E">
            <w:pPr>
              <w:rPr>
                <w:sz w:val="18"/>
                <w:szCs w:val="18"/>
              </w:rPr>
            </w:pPr>
          </w:p>
        </w:tc>
      </w:tr>
      <w:tr w14:paraId="57015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4619ABDB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6EB136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司机服务</w:t>
            </w:r>
          </w:p>
        </w:tc>
        <w:tc>
          <w:tcPr>
            <w:tcW w:w="5245" w:type="dxa"/>
            <w:noWrap w:val="0"/>
            <w:vAlign w:val="center"/>
          </w:tcPr>
          <w:p w14:paraId="7A7097A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电梯的正常运行由司机操作完成。</w:t>
            </w:r>
          </w:p>
        </w:tc>
        <w:tc>
          <w:tcPr>
            <w:tcW w:w="851" w:type="dxa"/>
            <w:noWrap w:val="0"/>
            <w:vAlign w:val="center"/>
          </w:tcPr>
          <w:p w14:paraId="7D27E91F">
            <w:pPr>
              <w:rPr>
                <w:sz w:val="18"/>
                <w:szCs w:val="18"/>
              </w:rPr>
            </w:pPr>
          </w:p>
        </w:tc>
      </w:tr>
      <w:tr w14:paraId="2708C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320F379E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3E69575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操纵箱微机异常处理</w:t>
            </w:r>
          </w:p>
        </w:tc>
        <w:tc>
          <w:tcPr>
            <w:tcW w:w="5245" w:type="dxa"/>
            <w:noWrap w:val="0"/>
            <w:vAlign w:val="center"/>
          </w:tcPr>
          <w:p w14:paraId="741E5E4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当操纵箱微机发生异常时，就近层停靠后，电梯不能再启动。</w:t>
            </w:r>
          </w:p>
        </w:tc>
        <w:tc>
          <w:tcPr>
            <w:tcW w:w="851" w:type="dxa"/>
            <w:noWrap w:val="0"/>
            <w:vAlign w:val="center"/>
          </w:tcPr>
          <w:p w14:paraId="3DED586B">
            <w:pPr>
              <w:rPr>
                <w:sz w:val="18"/>
                <w:szCs w:val="18"/>
              </w:rPr>
            </w:pPr>
          </w:p>
        </w:tc>
      </w:tr>
      <w:tr w14:paraId="4BF15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0402A85A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381576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轿内风扇装置自动关闭</w:t>
            </w:r>
          </w:p>
        </w:tc>
        <w:tc>
          <w:tcPr>
            <w:tcW w:w="5245" w:type="dxa"/>
            <w:noWrap w:val="0"/>
            <w:vAlign w:val="center"/>
          </w:tcPr>
          <w:p w14:paraId="051475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电梯运行时轿内风扇自动运行。</w:t>
            </w:r>
          </w:p>
        </w:tc>
        <w:tc>
          <w:tcPr>
            <w:tcW w:w="851" w:type="dxa"/>
            <w:noWrap w:val="0"/>
            <w:vAlign w:val="center"/>
          </w:tcPr>
          <w:p w14:paraId="1DE133F8">
            <w:pPr>
              <w:rPr>
                <w:sz w:val="18"/>
                <w:szCs w:val="18"/>
              </w:rPr>
            </w:pPr>
          </w:p>
        </w:tc>
      </w:tr>
      <w:tr w14:paraId="24D15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1B690587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622A97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轿内照明自动关闭</w:t>
            </w:r>
          </w:p>
        </w:tc>
        <w:tc>
          <w:tcPr>
            <w:tcW w:w="5245" w:type="dxa"/>
            <w:noWrap w:val="0"/>
            <w:vAlign w:val="center"/>
          </w:tcPr>
          <w:p w14:paraId="31B3B8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电梯无方向待机一定时间后，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轿</w:t>
            </w:r>
            <w:r>
              <w:rPr>
                <w:sz w:val="18"/>
                <w:szCs w:val="18"/>
              </w:rPr>
              <w:t>内照明自动关闭以节能。要求LED照明。</w:t>
            </w:r>
          </w:p>
        </w:tc>
        <w:tc>
          <w:tcPr>
            <w:tcW w:w="851" w:type="dxa"/>
            <w:noWrap w:val="0"/>
            <w:vAlign w:val="center"/>
          </w:tcPr>
          <w:p w14:paraId="197F1DFD">
            <w:pPr>
              <w:rPr>
                <w:sz w:val="18"/>
                <w:szCs w:val="18"/>
              </w:rPr>
            </w:pPr>
          </w:p>
        </w:tc>
      </w:tr>
      <w:tr w14:paraId="7977E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2FA74F5F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42D1CD7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故障自动检测功能</w:t>
            </w:r>
          </w:p>
        </w:tc>
        <w:tc>
          <w:tcPr>
            <w:tcW w:w="5245" w:type="dxa"/>
            <w:noWrap w:val="0"/>
            <w:vAlign w:val="center"/>
          </w:tcPr>
          <w:p w14:paraId="2171329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当有电梯运行过程中的异常、故障发生时，电梯可以自动检测故障发生的原因、位置和状态等并分级处理。</w:t>
            </w:r>
          </w:p>
        </w:tc>
        <w:tc>
          <w:tcPr>
            <w:tcW w:w="851" w:type="dxa"/>
            <w:noWrap w:val="0"/>
            <w:vAlign w:val="center"/>
          </w:tcPr>
          <w:p w14:paraId="4AD0B638">
            <w:pPr>
              <w:rPr>
                <w:sz w:val="18"/>
                <w:szCs w:val="18"/>
              </w:rPr>
            </w:pPr>
          </w:p>
        </w:tc>
      </w:tr>
      <w:tr w14:paraId="72A39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27DEB68E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2C846A8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轿内误指令自动消除</w:t>
            </w:r>
          </w:p>
        </w:tc>
        <w:tc>
          <w:tcPr>
            <w:tcW w:w="5245" w:type="dxa"/>
            <w:noWrap w:val="0"/>
            <w:vAlign w:val="center"/>
          </w:tcPr>
          <w:p w14:paraId="6385836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如果轿厢内已登记的指令数与乘客数不符，为避免不必要的停层取消所有指令。</w:t>
            </w:r>
          </w:p>
        </w:tc>
        <w:tc>
          <w:tcPr>
            <w:tcW w:w="851" w:type="dxa"/>
            <w:noWrap w:val="0"/>
            <w:vAlign w:val="center"/>
          </w:tcPr>
          <w:p w14:paraId="6758CFBD">
            <w:pPr>
              <w:rPr>
                <w:sz w:val="18"/>
                <w:szCs w:val="18"/>
              </w:rPr>
            </w:pPr>
          </w:p>
        </w:tc>
      </w:tr>
      <w:tr w14:paraId="15FA5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01D4524A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7D0640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群控后备运行</w:t>
            </w:r>
          </w:p>
        </w:tc>
        <w:tc>
          <w:tcPr>
            <w:tcW w:w="5245" w:type="dxa"/>
            <w:noWrap w:val="0"/>
            <w:vAlign w:val="center"/>
          </w:tcPr>
          <w:p w14:paraId="5335C8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群控处理器故障或群控与各台通讯故障引起群控失效时，维持各台电梯服务的功能。</w:t>
            </w:r>
          </w:p>
        </w:tc>
        <w:tc>
          <w:tcPr>
            <w:tcW w:w="851" w:type="dxa"/>
            <w:noWrap w:val="0"/>
            <w:vAlign w:val="center"/>
          </w:tcPr>
          <w:p w14:paraId="4DC46D03">
            <w:pPr>
              <w:rPr>
                <w:sz w:val="18"/>
                <w:szCs w:val="18"/>
              </w:rPr>
            </w:pPr>
          </w:p>
        </w:tc>
      </w:tr>
      <w:tr w14:paraId="3B91D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4EB4293A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6CA88A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层站运行控制开关</w:t>
            </w:r>
          </w:p>
        </w:tc>
        <w:tc>
          <w:tcPr>
            <w:tcW w:w="5245" w:type="dxa"/>
            <w:noWrap w:val="0"/>
            <w:vAlign w:val="center"/>
          </w:tcPr>
          <w:p w14:paraId="3315276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通过操作指定层站(首层)上安装的“运行/停止”钥匙开关，开启或关闭电梯。</w:t>
            </w:r>
          </w:p>
        </w:tc>
        <w:tc>
          <w:tcPr>
            <w:tcW w:w="851" w:type="dxa"/>
            <w:noWrap w:val="0"/>
            <w:vAlign w:val="center"/>
          </w:tcPr>
          <w:p w14:paraId="61A49A4D">
            <w:pPr>
              <w:rPr>
                <w:sz w:val="18"/>
                <w:szCs w:val="18"/>
              </w:rPr>
            </w:pPr>
          </w:p>
        </w:tc>
      </w:tr>
      <w:tr w14:paraId="49981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7A4D5833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69D8F2E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独立运行</w:t>
            </w:r>
          </w:p>
        </w:tc>
        <w:tc>
          <w:tcPr>
            <w:tcW w:w="5245" w:type="dxa"/>
            <w:noWrap w:val="0"/>
            <w:vAlign w:val="center"/>
          </w:tcPr>
          <w:p w14:paraId="180888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使用操纵箱内“独立”开关，可以在不中断运行的情况下，只响应轿内指令而不响应层站召唤。</w:t>
            </w:r>
          </w:p>
        </w:tc>
        <w:tc>
          <w:tcPr>
            <w:tcW w:w="851" w:type="dxa"/>
            <w:noWrap w:val="0"/>
            <w:vAlign w:val="center"/>
          </w:tcPr>
          <w:p w14:paraId="1EFD3860">
            <w:pPr>
              <w:rPr>
                <w:sz w:val="18"/>
                <w:szCs w:val="18"/>
              </w:rPr>
            </w:pPr>
          </w:p>
        </w:tc>
      </w:tr>
      <w:tr w14:paraId="3CC2E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239F9CF6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7ADC103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电梯井道照明及检修插座</w:t>
            </w:r>
          </w:p>
        </w:tc>
        <w:tc>
          <w:tcPr>
            <w:tcW w:w="5245" w:type="dxa"/>
            <w:noWrap w:val="0"/>
            <w:vAlign w:val="center"/>
          </w:tcPr>
          <w:p w14:paraId="0E732F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电梯井道照明及检修插座由承包单位负责施工。</w:t>
            </w:r>
          </w:p>
        </w:tc>
        <w:tc>
          <w:tcPr>
            <w:tcW w:w="851" w:type="dxa"/>
            <w:noWrap w:val="0"/>
            <w:vAlign w:val="center"/>
          </w:tcPr>
          <w:p w14:paraId="69813717">
            <w:pPr>
              <w:rPr>
                <w:sz w:val="18"/>
                <w:szCs w:val="18"/>
              </w:rPr>
            </w:pPr>
          </w:p>
        </w:tc>
      </w:tr>
      <w:tr w14:paraId="5A3DA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272B9AD1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31CB1CC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超载报警保护功能</w:t>
            </w:r>
          </w:p>
        </w:tc>
        <w:tc>
          <w:tcPr>
            <w:tcW w:w="5245" w:type="dxa"/>
            <w:noWrap w:val="0"/>
            <w:vAlign w:val="center"/>
          </w:tcPr>
          <w:p w14:paraId="5214644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轿厢超载时，电梯保持开门并且轿内蜂鸣器鸣响。</w:t>
            </w:r>
          </w:p>
        </w:tc>
        <w:tc>
          <w:tcPr>
            <w:tcW w:w="851" w:type="dxa"/>
            <w:noWrap w:val="0"/>
            <w:vAlign w:val="center"/>
          </w:tcPr>
          <w:p w14:paraId="0DD1800D">
            <w:pPr>
              <w:rPr>
                <w:sz w:val="18"/>
                <w:szCs w:val="18"/>
              </w:rPr>
            </w:pPr>
          </w:p>
        </w:tc>
      </w:tr>
      <w:tr w14:paraId="7EB0B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11AB599A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7D94DB5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轿顶检修操作功能</w:t>
            </w:r>
          </w:p>
        </w:tc>
        <w:tc>
          <w:tcPr>
            <w:tcW w:w="5245" w:type="dxa"/>
            <w:noWrap w:val="0"/>
            <w:vAlign w:val="center"/>
          </w:tcPr>
          <w:p w14:paraId="15C867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在轿厢顶部控制电梯进行慢速点动运行，方便电梯检修保养工作。</w:t>
            </w:r>
          </w:p>
        </w:tc>
        <w:tc>
          <w:tcPr>
            <w:tcW w:w="851" w:type="dxa"/>
            <w:noWrap w:val="0"/>
            <w:vAlign w:val="center"/>
          </w:tcPr>
          <w:p w14:paraId="5CB42D3C">
            <w:pPr>
              <w:rPr>
                <w:sz w:val="18"/>
                <w:szCs w:val="18"/>
              </w:rPr>
            </w:pPr>
          </w:p>
        </w:tc>
      </w:tr>
      <w:tr w14:paraId="3F056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19D6AC55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28BF610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机房内检修制作功能</w:t>
            </w:r>
          </w:p>
        </w:tc>
        <w:tc>
          <w:tcPr>
            <w:tcW w:w="5245" w:type="dxa"/>
            <w:noWrap w:val="0"/>
            <w:vAlign w:val="center"/>
          </w:tcPr>
          <w:p w14:paraId="6C10D75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在控制柜控制电梯进行慢速点动运行，方便电梯检修保养工作。</w:t>
            </w:r>
          </w:p>
        </w:tc>
        <w:tc>
          <w:tcPr>
            <w:tcW w:w="851" w:type="dxa"/>
            <w:noWrap w:val="0"/>
            <w:vAlign w:val="center"/>
          </w:tcPr>
          <w:p w14:paraId="2A026A40">
            <w:pPr>
              <w:rPr>
                <w:sz w:val="18"/>
                <w:szCs w:val="18"/>
              </w:rPr>
            </w:pPr>
          </w:p>
        </w:tc>
      </w:tr>
      <w:tr w14:paraId="42C38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restart"/>
            <w:noWrap w:val="0"/>
            <w:vAlign w:val="center"/>
          </w:tcPr>
          <w:p w14:paraId="302C0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应 急 运 行</w:t>
            </w:r>
          </w:p>
        </w:tc>
        <w:tc>
          <w:tcPr>
            <w:tcW w:w="2693" w:type="dxa"/>
            <w:noWrap w:val="0"/>
            <w:vAlign w:val="center"/>
          </w:tcPr>
          <w:p w14:paraId="3B87A9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轿箱应急照明</w:t>
            </w:r>
          </w:p>
        </w:tc>
        <w:tc>
          <w:tcPr>
            <w:tcW w:w="5245" w:type="dxa"/>
            <w:noWrap w:val="0"/>
            <w:vAlign w:val="center"/>
          </w:tcPr>
          <w:p w14:paraId="6ED6266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当正常电源断电时，立即提供轿厢照明。</w:t>
            </w:r>
          </w:p>
        </w:tc>
        <w:tc>
          <w:tcPr>
            <w:tcW w:w="851" w:type="dxa"/>
            <w:noWrap w:val="0"/>
            <w:vAlign w:val="center"/>
          </w:tcPr>
          <w:p w14:paraId="546D1077">
            <w:pPr>
              <w:rPr>
                <w:sz w:val="18"/>
                <w:szCs w:val="18"/>
              </w:rPr>
            </w:pPr>
          </w:p>
        </w:tc>
      </w:tr>
      <w:tr w14:paraId="5C9B9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2BB8D17A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4BA135B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停电应急警铃</w:t>
            </w:r>
          </w:p>
        </w:tc>
        <w:tc>
          <w:tcPr>
            <w:tcW w:w="5245" w:type="dxa"/>
            <w:noWrap w:val="0"/>
            <w:vAlign w:val="center"/>
          </w:tcPr>
          <w:p w14:paraId="306F8EC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停电时警铃和通话装置鸣响。</w:t>
            </w:r>
          </w:p>
        </w:tc>
        <w:tc>
          <w:tcPr>
            <w:tcW w:w="851" w:type="dxa"/>
            <w:noWrap w:val="0"/>
            <w:vAlign w:val="center"/>
          </w:tcPr>
          <w:p w14:paraId="49F98419">
            <w:pPr>
              <w:rPr>
                <w:sz w:val="18"/>
                <w:szCs w:val="18"/>
              </w:rPr>
            </w:pPr>
          </w:p>
        </w:tc>
      </w:tr>
      <w:tr w14:paraId="4D0DF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1FBA052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63C9ECB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火灾应急返回(带有消防迫降功能电梯要求)</w:t>
            </w:r>
          </w:p>
        </w:tc>
        <w:tc>
          <w:tcPr>
            <w:tcW w:w="5245" w:type="dxa"/>
            <w:noWrap w:val="0"/>
            <w:vAlign w:val="center"/>
          </w:tcPr>
          <w:p w14:paraId="48AA6D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当火灾应急返回开关动作时，取消所有层站召唤和轿内指令，电梯立即返回到预定层站并开门停机。</w:t>
            </w:r>
          </w:p>
        </w:tc>
        <w:tc>
          <w:tcPr>
            <w:tcW w:w="851" w:type="dxa"/>
            <w:noWrap w:val="0"/>
            <w:vAlign w:val="center"/>
          </w:tcPr>
          <w:p w14:paraId="0C2BE87F">
            <w:pPr>
              <w:rPr>
                <w:sz w:val="18"/>
                <w:szCs w:val="18"/>
              </w:rPr>
            </w:pPr>
          </w:p>
        </w:tc>
      </w:tr>
      <w:tr w14:paraId="3EFFF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7B4BB844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7EBE872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五方对讲</w:t>
            </w:r>
          </w:p>
        </w:tc>
        <w:tc>
          <w:tcPr>
            <w:tcW w:w="5245" w:type="dxa"/>
            <w:noWrap w:val="0"/>
            <w:vAlign w:val="center"/>
          </w:tcPr>
          <w:p w14:paraId="5AB361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无线五方通话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16DBE56C">
            <w:pPr>
              <w:rPr>
                <w:sz w:val="18"/>
                <w:szCs w:val="18"/>
              </w:rPr>
            </w:pPr>
          </w:p>
        </w:tc>
      </w:tr>
      <w:tr w14:paraId="587A7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restart"/>
            <w:noWrap w:val="0"/>
            <w:vAlign w:val="center"/>
          </w:tcPr>
          <w:p w14:paraId="52387DB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操</w:t>
            </w:r>
          </w:p>
          <w:p w14:paraId="295D6D7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作</w:t>
            </w:r>
          </w:p>
        </w:tc>
        <w:tc>
          <w:tcPr>
            <w:tcW w:w="2693" w:type="dxa"/>
            <w:noWrap w:val="0"/>
            <w:vAlign w:val="center"/>
          </w:tcPr>
          <w:p w14:paraId="5C8D28B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关门保护</w:t>
            </w:r>
          </w:p>
        </w:tc>
        <w:tc>
          <w:tcPr>
            <w:tcW w:w="5245" w:type="dxa"/>
            <w:noWrap w:val="0"/>
            <w:vAlign w:val="center"/>
          </w:tcPr>
          <w:p w14:paraId="1090866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当轿厢门不能完全关闭时，门反向开启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7795CEEC">
            <w:pPr>
              <w:rPr>
                <w:sz w:val="18"/>
                <w:szCs w:val="18"/>
              </w:rPr>
            </w:pPr>
          </w:p>
        </w:tc>
      </w:tr>
      <w:tr w14:paraId="1D8A5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727A85A6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77DEA5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门负载检测</w:t>
            </w:r>
          </w:p>
        </w:tc>
        <w:tc>
          <w:tcPr>
            <w:tcW w:w="5245" w:type="dxa"/>
            <w:noWrap w:val="0"/>
            <w:vAlign w:val="center"/>
          </w:tcPr>
          <w:p w14:paraId="01FC628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如果门由于过载导致不能完全打开或关闭，电梯门将反方向动作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6B51689D">
            <w:pPr>
              <w:rPr>
                <w:sz w:val="18"/>
                <w:szCs w:val="18"/>
              </w:rPr>
            </w:pPr>
          </w:p>
        </w:tc>
      </w:tr>
      <w:tr w14:paraId="62A4F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11E19895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4AE2EC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开门保持时间自动调整</w:t>
            </w:r>
          </w:p>
        </w:tc>
        <w:tc>
          <w:tcPr>
            <w:tcW w:w="5245" w:type="dxa"/>
            <w:noWrap w:val="0"/>
            <w:vAlign w:val="center"/>
          </w:tcPr>
          <w:p w14:paraId="6FE50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根据层站召唤或轿内指令自动调整开门保持时间。</w:t>
            </w:r>
          </w:p>
        </w:tc>
        <w:tc>
          <w:tcPr>
            <w:tcW w:w="851" w:type="dxa"/>
            <w:noWrap w:val="0"/>
            <w:vAlign w:val="center"/>
          </w:tcPr>
          <w:p w14:paraId="15B579CC">
            <w:pPr>
              <w:rPr>
                <w:sz w:val="18"/>
                <w:szCs w:val="18"/>
              </w:rPr>
            </w:pPr>
          </w:p>
        </w:tc>
      </w:tr>
      <w:tr w14:paraId="72379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6F1F6409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3A89D6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关门力矩控制</w:t>
            </w:r>
          </w:p>
        </w:tc>
        <w:tc>
          <w:tcPr>
            <w:tcW w:w="5245" w:type="dxa"/>
            <w:noWrap w:val="0"/>
            <w:vAlign w:val="center"/>
          </w:tcPr>
          <w:p w14:paraId="46F7C8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电梯关门遇到额外阻力时，门系统反正开门。</w:t>
            </w:r>
          </w:p>
        </w:tc>
        <w:tc>
          <w:tcPr>
            <w:tcW w:w="851" w:type="dxa"/>
            <w:noWrap w:val="0"/>
            <w:vAlign w:val="center"/>
          </w:tcPr>
          <w:p w14:paraId="12F3F256">
            <w:pPr>
              <w:rPr>
                <w:sz w:val="18"/>
                <w:szCs w:val="18"/>
              </w:rPr>
            </w:pPr>
          </w:p>
        </w:tc>
      </w:tr>
      <w:tr w14:paraId="059B1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5775C540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1628BCD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即时关门</w:t>
            </w:r>
          </w:p>
        </w:tc>
        <w:tc>
          <w:tcPr>
            <w:tcW w:w="5245" w:type="dxa"/>
            <w:noWrap w:val="0"/>
            <w:vAlign w:val="center"/>
          </w:tcPr>
          <w:p w14:paraId="34BCC0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电梯停站开门后，按下关门按钮，门立即关闭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0F7572F6">
            <w:pPr>
              <w:rPr>
                <w:sz w:val="18"/>
                <w:szCs w:val="18"/>
              </w:rPr>
            </w:pPr>
          </w:p>
        </w:tc>
      </w:tr>
      <w:tr w14:paraId="4EC3A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6EF0262A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062838E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光幕门保护</w:t>
            </w:r>
          </w:p>
        </w:tc>
        <w:tc>
          <w:tcPr>
            <w:tcW w:w="5245" w:type="dxa"/>
            <w:noWrap w:val="0"/>
            <w:vAlign w:val="center"/>
          </w:tcPr>
          <w:p w14:paraId="66CEA6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利用</w:t>
            </w:r>
            <w:r>
              <w:rPr>
                <w:rFonts w:hint="eastAsia"/>
                <w:sz w:val="18"/>
                <w:szCs w:val="18"/>
              </w:rPr>
              <w:t>红外线光束</w:t>
            </w:r>
            <w:r>
              <w:rPr>
                <w:sz w:val="18"/>
                <w:szCs w:val="18"/>
              </w:rPr>
              <w:t>探测，在关门期间，检测到乘客或物体时</w:t>
            </w:r>
            <w:r>
              <w:rPr>
                <w:rFonts w:hint="eastAsia"/>
                <w:sz w:val="18"/>
                <w:szCs w:val="18"/>
              </w:rPr>
              <w:t>阻碍</w:t>
            </w:r>
            <w:r>
              <w:rPr>
                <w:sz w:val="18"/>
                <w:szCs w:val="18"/>
              </w:rPr>
              <w:t>时，重新开门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59CD2F3C">
            <w:pPr>
              <w:rPr>
                <w:sz w:val="18"/>
                <w:szCs w:val="18"/>
              </w:rPr>
            </w:pPr>
          </w:p>
        </w:tc>
      </w:tr>
      <w:tr w14:paraId="1FAC6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1361214E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725618F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本层再开门</w:t>
            </w:r>
          </w:p>
        </w:tc>
        <w:tc>
          <w:tcPr>
            <w:tcW w:w="5245" w:type="dxa"/>
            <w:noWrap w:val="0"/>
            <w:vAlign w:val="center"/>
          </w:tcPr>
          <w:p w14:paraId="0785F89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关门过程中，按同方向层站召唤按钮，电梯重新开门.</w:t>
            </w:r>
          </w:p>
        </w:tc>
        <w:tc>
          <w:tcPr>
            <w:tcW w:w="851" w:type="dxa"/>
            <w:noWrap w:val="0"/>
            <w:vAlign w:val="center"/>
          </w:tcPr>
          <w:p w14:paraId="3CCA6C13">
            <w:pPr>
              <w:rPr>
                <w:sz w:val="18"/>
                <w:szCs w:val="18"/>
              </w:rPr>
            </w:pPr>
          </w:p>
        </w:tc>
      </w:tr>
      <w:tr w14:paraId="6951B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restart"/>
            <w:noWrap w:val="0"/>
            <w:vAlign w:val="center"/>
          </w:tcPr>
          <w:p w14:paraId="348CE48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</w:t>
            </w:r>
          </w:p>
          <w:p w14:paraId="4E9F670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息 和 显 示</w:t>
            </w:r>
          </w:p>
        </w:tc>
        <w:tc>
          <w:tcPr>
            <w:tcW w:w="2693" w:type="dxa"/>
            <w:noWrap w:val="0"/>
            <w:vAlign w:val="center"/>
          </w:tcPr>
          <w:p w14:paraId="1BA287D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层站自动运行指示</w:t>
            </w:r>
          </w:p>
        </w:tc>
        <w:tc>
          <w:tcPr>
            <w:tcW w:w="5245" w:type="dxa"/>
            <w:noWrap w:val="0"/>
            <w:vAlign w:val="center"/>
          </w:tcPr>
          <w:p w14:paraId="7060C5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层站显示器显示电梯处于</w:t>
            </w:r>
            <w:r>
              <w:rPr>
                <w:rFonts w:hint="eastAsia"/>
                <w:sz w:val="18"/>
                <w:szCs w:val="18"/>
              </w:rPr>
              <w:t>的</w:t>
            </w:r>
            <w:r>
              <w:rPr>
                <w:sz w:val="18"/>
                <w:szCs w:val="18"/>
              </w:rPr>
              <w:t>运行状态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61B3C0C0">
            <w:pPr>
              <w:rPr>
                <w:sz w:val="18"/>
                <w:szCs w:val="18"/>
              </w:rPr>
            </w:pPr>
          </w:p>
        </w:tc>
      </w:tr>
      <w:tr w14:paraId="75394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7F1BAC95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7B2341C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轿内运行方向指示</w:t>
            </w:r>
          </w:p>
        </w:tc>
        <w:tc>
          <w:tcPr>
            <w:tcW w:w="5245" w:type="dxa"/>
            <w:noWrap w:val="0"/>
            <w:vAlign w:val="center"/>
          </w:tcPr>
          <w:p w14:paraId="165C7E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箭头(不限于)指示电梯运行方向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1CCEAC16">
            <w:pPr>
              <w:rPr>
                <w:sz w:val="18"/>
                <w:szCs w:val="18"/>
              </w:rPr>
            </w:pPr>
          </w:p>
        </w:tc>
      </w:tr>
      <w:tr w14:paraId="1707F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1796CFF0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0DC0D98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层站运行方向指示</w:t>
            </w:r>
          </w:p>
        </w:tc>
        <w:tc>
          <w:tcPr>
            <w:tcW w:w="5245" w:type="dxa"/>
            <w:noWrap w:val="0"/>
            <w:vAlign w:val="center"/>
          </w:tcPr>
          <w:p w14:paraId="06A76C1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箭头(不限于)指示电梯运行方向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851" w:type="dxa"/>
            <w:noWrap w:val="0"/>
            <w:vAlign w:val="center"/>
          </w:tcPr>
          <w:p w14:paraId="1A9B2A6B">
            <w:pPr>
              <w:rPr>
                <w:sz w:val="18"/>
                <w:szCs w:val="18"/>
              </w:rPr>
            </w:pPr>
          </w:p>
        </w:tc>
      </w:tr>
      <w:tr w14:paraId="2607A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39511F28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1D72458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关、开门按钮响应指示</w:t>
            </w:r>
          </w:p>
        </w:tc>
        <w:tc>
          <w:tcPr>
            <w:tcW w:w="5245" w:type="dxa"/>
            <w:noWrap w:val="0"/>
            <w:vAlign w:val="center"/>
          </w:tcPr>
          <w:p w14:paraId="5D188E9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按下开或关门按钮时，其相应的灯同时亮</w:t>
            </w:r>
          </w:p>
        </w:tc>
        <w:tc>
          <w:tcPr>
            <w:tcW w:w="851" w:type="dxa"/>
            <w:noWrap w:val="0"/>
            <w:vAlign w:val="center"/>
          </w:tcPr>
          <w:p w14:paraId="20C1192E">
            <w:pPr>
              <w:rPr>
                <w:sz w:val="18"/>
                <w:szCs w:val="18"/>
              </w:rPr>
            </w:pPr>
          </w:p>
        </w:tc>
      </w:tr>
      <w:tr w14:paraId="7E713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271C2534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6A27B7D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层站到站显示</w:t>
            </w:r>
          </w:p>
        </w:tc>
        <w:tc>
          <w:tcPr>
            <w:tcW w:w="5245" w:type="dxa"/>
            <w:noWrap w:val="0"/>
            <w:vAlign w:val="center"/>
          </w:tcPr>
          <w:p w14:paraId="271F64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数字显示，指示电梯到达及其运行方向</w:t>
            </w:r>
          </w:p>
        </w:tc>
        <w:tc>
          <w:tcPr>
            <w:tcW w:w="851" w:type="dxa"/>
            <w:noWrap w:val="0"/>
            <w:vAlign w:val="center"/>
          </w:tcPr>
          <w:p w14:paraId="48E80B81">
            <w:pPr>
              <w:rPr>
                <w:sz w:val="18"/>
                <w:szCs w:val="18"/>
              </w:rPr>
            </w:pPr>
          </w:p>
        </w:tc>
      </w:tr>
      <w:tr w14:paraId="36ED1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4E4BB757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6EA75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视频电缆</w:t>
            </w:r>
          </w:p>
        </w:tc>
        <w:tc>
          <w:tcPr>
            <w:tcW w:w="5245" w:type="dxa"/>
            <w:noWrap w:val="0"/>
            <w:vAlign w:val="center"/>
          </w:tcPr>
          <w:p w14:paraId="39097C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供用轿厢内视频装置使用的电缆</w:t>
            </w:r>
          </w:p>
        </w:tc>
        <w:tc>
          <w:tcPr>
            <w:tcW w:w="851" w:type="dxa"/>
            <w:noWrap w:val="0"/>
            <w:vAlign w:val="center"/>
          </w:tcPr>
          <w:p w14:paraId="00DB36F2">
            <w:pPr>
              <w:rPr>
                <w:sz w:val="18"/>
                <w:szCs w:val="18"/>
              </w:rPr>
            </w:pPr>
          </w:p>
        </w:tc>
      </w:tr>
      <w:tr w14:paraId="48A58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339BDA5D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5A8E990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轿内超载指示</w:t>
            </w:r>
          </w:p>
        </w:tc>
        <w:tc>
          <w:tcPr>
            <w:tcW w:w="5245" w:type="dxa"/>
            <w:noWrap w:val="0"/>
            <w:vAlign w:val="center"/>
          </w:tcPr>
          <w:p w14:paraId="3241EF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超载时，指示灯亮</w:t>
            </w:r>
          </w:p>
        </w:tc>
        <w:tc>
          <w:tcPr>
            <w:tcW w:w="851" w:type="dxa"/>
            <w:noWrap w:val="0"/>
            <w:vAlign w:val="center"/>
          </w:tcPr>
          <w:p w14:paraId="5EA938B9">
            <w:pPr>
              <w:rPr>
                <w:sz w:val="18"/>
                <w:szCs w:val="18"/>
              </w:rPr>
            </w:pPr>
          </w:p>
        </w:tc>
      </w:tr>
      <w:tr w14:paraId="59442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767A2077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203AD6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电梯停用指示</w:t>
            </w:r>
          </w:p>
        </w:tc>
        <w:tc>
          <w:tcPr>
            <w:tcW w:w="5245" w:type="dxa"/>
            <w:noWrap w:val="0"/>
            <w:vAlign w:val="center"/>
          </w:tcPr>
          <w:p w14:paraId="46FC4A0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在层站处指示电梯处于停用状态</w:t>
            </w:r>
          </w:p>
        </w:tc>
        <w:tc>
          <w:tcPr>
            <w:tcW w:w="851" w:type="dxa"/>
            <w:noWrap w:val="0"/>
            <w:vAlign w:val="center"/>
          </w:tcPr>
          <w:p w14:paraId="21B6D1DF">
            <w:pPr>
              <w:rPr>
                <w:sz w:val="18"/>
                <w:szCs w:val="18"/>
              </w:rPr>
            </w:pPr>
          </w:p>
        </w:tc>
      </w:tr>
      <w:tr w14:paraId="50BA9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589E7717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097F22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运行次数显示功能</w:t>
            </w:r>
          </w:p>
        </w:tc>
        <w:tc>
          <w:tcPr>
            <w:tcW w:w="5245" w:type="dxa"/>
            <w:noWrap w:val="0"/>
            <w:vAlign w:val="center"/>
          </w:tcPr>
          <w:p w14:paraId="37C487D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机房中能显示自动累积电梯运行次数，作为电梯使用情况的参考数据</w:t>
            </w:r>
          </w:p>
        </w:tc>
        <w:tc>
          <w:tcPr>
            <w:tcW w:w="851" w:type="dxa"/>
            <w:noWrap w:val="0"/>
            <w:vAlign w:val="center"/>
          </w:tcPr>
          <w:p w14:paraId="711BC89B">
            <w:pPr>
              <w:rPr>
                <w:sz w:val="18"/>
                <w:szCs w:val="18"/>
              </w:rPr>
            </w:pPr>
          </w:p>
        </w:tc>
      </w:tr>
    </w:tbl>
    <w:p w14:paraId="538A7654">
      <w:pPr>
        <w:numPr>
          <w:ilvl w:val="0"/>
          <w:numId w:val="0"/>
        </w:numPr>
        <w:spacing w:line="360" w:lineRule="auto"/>
        <w:ind w:left="0" w:leftChars="0" w:firstLine="315" w:firstLineChars="175"/>
        <w:jc w:val="left"/>
        <w:rPr>
          <w:rFonts w:hint="default"/>
          <w:sz w:val="18"/>
          <w:szCs w:val="18"/>
          <w:lang w:val="en-US"/>
        </w:rPr>
      </w:pPr>
      <w:r>
        <w:rPr>
          <w:rFonts w:hint="eastAsia" w:ascii="宋体" w:hAnsi="宋体" w:cs="宋体"/>
          <w:b w:val="0"/>
          <w:bCs/>
          <w:sz w:val="18"/>
          <w:szCs w:val="18"/>
          <w:lang w:val="en-US" w:eastAsia="zh-CN"/>
        </w:rPr>
        <w:t>补遗书内容与招标文件不一致的，以本补遗书为准；原定开标时间不做调整。</w:t>
      </w:r>
    </w:p>
    <w:p w14:paraId="023B7CE2">
      <w:pPr>
        <w:numPr>
          <w:ilvl w:val="0"/>
          <w:numId w:val="0"/>
        </w:numPr>
        <w:spacing w:line="360" w:lineRule="auto"/>
        <w:ind w:left="0" w:leftChars="0" w:firstLine="315" w:firstLineChars="175"/>
        <w:jc w:val="lef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   </w:t>
      </w:r>
    </w:p>
    <w:p w14:paraId="14CBCEDB">
      <w:pPr>
        <w:ind w:left="0" w:leftChars="0" w:firstLine="315" w:firstLineChars="175"/>
        <w:rPr>
          <w:rFonts w:hint="eastAsia"/>
          <w:sz w:val="18"/>
          <w:szCs w:val="18"/>
        </w:rPr>
      </w:pPr>
    </w:p>
    <w:p w14:paraId="77AC0625">
      <w:pPr>
        <w:numPr>
          <w:ilvl w:val="0"/>
          <w:numId w:val="0"/>
        </w:numPr>
        <w:spacing w:line="360" w:lineRule="auto"/>
        <w:ind w:left="0" w:leftChars="0" w:firstLine="315" w:firstLineChars="175"/>
        <w:jc w:val="right"/>
        <w:rPr>
          <w:rFonts w:hint="default" w:ascii="宋体" w:hAnsi="宋体" w:cs="宋体"/>
          <w:b w:val="0"/>
          <w:bCs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</w:rPr>
        <w:t xml:space="preserve">     </w:t>
      </w:r>
      <w:r>
        <w:rPr>
          <w:rFonts w:hint="eastAsia" w:ascii="宋体" w:hAnsi="宋体" w:cs="宋体"/>
          <w:b w:val="0"/>
          <w:bCs/>
          <w:sz w:val="18"/>
          <w:szCs w:val="18"/>
          <w:lang w:val="en-US" w:eastAsia="zh-CN"/>
        </w:rPr>
        <w:t>招标人：云南财经大学</w:t>
      </w:r>
    </w:p>
    <w:p w14:paraId="43F932A2">
      <w:pPr>
        <w:numPr>
          <w:ilvl w:val="0"/>
          <w:numId w:val="0"/>
        </w:numPr>
        <w:spacing w:line="360" w:lineRule="auto"/>
        <w:ind w:left="0" w:leftChars="0" w:firstLine="315" w:firstLineChars="175"/>
        <w:jc w:val="right"/>
        <w:rPr>
          <w:rFonts w:hint="default" w:ascii="宋体" w:hAnsi="宋体" w:cs="宋体"/>
          <w:b w:val="0"/>
          <w:bCs/>
          <w:sz w:val="18"/>
          <w:szCs w:val="18"/>
          <w:lang w:val="en-US" w:eastAsia="zh-CN"/>
        </w:rPr>
      </w:pPr>
      <w:r>
        <w:rPr>
          <w:rFonts w:hint="eastAsia" w:ascii="宋体" w:hAnsi="宋体" w:cs="宋体"/>
          <w:b w:val="0"/>
          <w:bCs/>
          <w:sz w:val="18"/>
          <w:szCs w:val="18"/>
          <w:lang w:val="en-US" w:eastAsia="zh-CN"/>
        </w:rPr>
        <w:t>招标代理机构：昆明晨晟招标有限责任公司</w:t>
      </w:r>
    </w:p>
    <w:sectPr>
      <w:pgSz w:w="11906" w:h="16838"/>
      <w:pgMar w:top="1440" w:right="1486" w:bottom="1118" w:left="14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B33165"/>
    <w:rsid w:val="04011186"/>
    <w:rsid w:val="05241446"/>
    <w:rsid w:val="08E53008"/>
    <w:rsid w:val="09041F23"/>
    <w:rsid w:val="0A382368"/>
    <w:rsid w:val="0B501368"/>
    <w:rsid w:val="0CF24D5E"/>
    <w:rsid w:val="0DDE1FC1"/>
    <w:rsid w:val="106F430B"/>
    <w:rsid w:val="14B14813"/>
    <w:rsid w:val="1586284A"/>
    <w:rsid w:val="17822E75"/>
    <w:rsid w:val="1E410A31"/>
    <w:rsid w:val="1F4D72C6"/>
    <w:rsid w:val="23056C18"/>
    <w:rsid w:val="23403BE4"/>
    <w:rsid w:val="2515208D"/>
    <w:rsid w:val="29B52EAF"/>
    <w:rsid w:val="29DA1C17"/>
    <w:rsid w:val="2A5B2033"/>
    <w:rsid w:val="2C7A0167"/>
    <w:rsid w:val="2D1F7B2D"/>
    <w:rsid w:val="301C2F7E"/>
    <w:rsid w:val="30921318"/>
    <w:rsid w:val="311E5564"/>
    <w:rsid w:val="32AE68CA"/>
    <w:rsid w:val="32E94E31"/>
    <w:rsid w:val="37790BFE"/>
    <w:rsid w:val="3AF71876"/>
    <w:rsid w:val="3CC35212"/>
    <w:rsid w:val="3CD91BC5"/>
    <w:rsid w:val="3D023F8C"/>
    <w:rsid w:val="3D173DBF"/>
    <w:rsid w:val="3E9E00BB"/>
    <w:rsid w:val="40DC0007"/>
    <w:rsid w:val="40E23133"/>
    <w:rsid w:val="441E4812"/>
    <w:rsid w:val="449A5FD7"/>
    <w:rsid w:val="466B7512"/>
    <w:rsid w:val="475D6869"/>
    <w:rsid w:val="47800A4B"/>
    <w:rsid w:val="4F583D41"/>
    <w:rsid w:val="4FB36EA5"/>
    <w:rsid w:val="512A7A06"/>
    <w:rsid w:val="51431DF8"/>
    <w:rsid w:val="514F6771"/>
    <w:rsid w:val="518B13A7"/>
    <w:rsid w:val="51951780"/>
    <w:rsid w:val="541428E2"/>
    <w:rsid w:val="563A0C7E"/>
    <w:rsid w:val="5A250BF1"/>
    <w:rsid w:val="5AD136B6"/>
    <w:rsid w:val="5DB33165"/>
    <w:rsid w:val="5F7055A9"/>
    <w:rsid w:val="5FD10523"/>
    <w:rsid w:val="62377985"/>
    <w:rsid w:val="62F24967"/>
    <w:rsid w:val="63240807"/>
    <w:rsid w:val="6359716B"/>
    <w:rsid w:val="63E022EB"/>
    <w:rsid w:val="67EB39DC"/>
    <w:rsid w:val="6DB01849"/>
    <w:rsid w:val="700F52DF"/>
    <w:rsid w:val="727C5A3A"/>
    <w:rsid w:val="746C1756"/>
    <w:rsid w:val="74A4111B"/>
    <w:rsid w:val="76CA2117"/>
    <w:rsid w:val="778E5E41"/>
    <w:rsid w:val="7B823C3C"/>
    <w:rsid w:val="7DA2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宋体" w:cs="Times New Roman"/>
      <w:b/>
      <w:sz w:val="24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21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1071</Words>
  <Characters>1888</Characters>
  <Lines>0</Lines>
  <Paragraphs>0</Paragraphs>
  <TotalTime>28</TotalTime>
  <ScaleCrop>false</ScaleCrop>
  <LinksUpToDate>false</LinksUpToDate>
  <CharactersWithSpaces>1901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2025-02-20T02:01:00Z</dcterms:created>
  <dc:creator>敷忆</dc:creator>
  <cp:lastModifiedBy>泡芙</cp:lastModifiedBy>
  <dcterms:modified xsi:type="dcterms:W3CDTF">2025-08-07T04:25:22Z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2ADCA7E3A7C040BE8F08E051466B4985_13</vt:lpwstr>
  </property>
  <property fmtid="{D5CDD505-2E9C-101B-9397-08002B2CF9AE}" pid="4" name="KSOTemplateDocerSaveRecord">
    <vt:lpwstr>eyJoZGlkIjoiMDg4M2E3YzdjMmE0ZTE0ZmNhODFkOGU5MjU0YzU0ZmQiLCJ1c2VySWQiOiI3MjY2NTc2MTAifQ==</vt:lpwstr>
  </property>
</Properties>
</file>