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1C9D22">
      <w:pPr>
        <w:jc w:val="center"/>
        <w:rPr>
          <w:rFonts w:eastAsia="黑体"/>
          <w:color w:val="auto"/>
          <w:szCs w:val="21"/>
          <w:highlight w:val="none"/>
        </w:rPr>
      </w:pPr>
    </w:p>
    <w:p w14:paraId="1BC4EAA2">
      <w:pPr>
        <w:spacing w:line="360" w:lineRule="auto"/>
        <w:jc w:val="both"/>
        <w:rPr>
          <w:rFonts w:hint="eastAsia" w:hAnsi="黑体" w:eastAsia="黑体"/>
          <w:b/>
          <w:color w:val="auto"/>
          <w:sz w:val="52"/>
          <w:szCs w:val="52"/>
          <w:highlight w:val="none"/>
        </w:rPr>
      </w:pPr>
    </w:p>
    <w:p w14:paraId="6C6A150D">
      <w:pPr>
        <w:spacing w:line="540" w:lineRule="exact"/>
        <w:ind w:firstLine="437"/>
        <w:rPr>
          <w:rFonts w:hint="eastAsia" w:ascii="黑体" w:hAnsi="宋体" w:eastAsia="黑体"/>
          <w:b/>
          <w:color w:val="auto"/>
          <w:sz w:val="56"/>
          <w:szCs w:val="72"/>
          <w:highlight w:val="none"/>
        </w:rPr>
      </w:pPr>
    </w:p>
    <w:p w14:paraId="3CB68983">
      <w:pPr>
        <w:spacing w:line="360" w:lineRule="auto"/>
        <w:jc w:val="center"/>
        <w:rPr>
          <w:rFonts w:hint="eastAsia" w:eastAsia="宋体"/>
          <w:b/>
          <w:bCs/>
          <w:color w:val="auto"/>
          <w:sz w:val="48"/>
          <w:szCs w:val="48"/>
          <w:highlight w:val="none"/>
          <w:lang w:eastAsia="zh-CN"/>
        </w:rPr>
      </w:pPr>
      <w:r>
        <w:rPr>
          <w:rFonts w:hint="eastAsia"/>
          <w:b/>
          <w:bCs/>
          <w:color w:val="auto"/>
          <w:sz w:val="48"/>
          <w:szCs w:val="48"/>
          <w:highlight w:val="none"/>
          <w:lang w:eastAsia="zh-CN"/>
        </w:rPr>
        <w:t>云南民族村整体改造及运营提升专项法律服务项目</w:t>
      </w:r>
    </w:p>
    <w:p w14:paraId="41C62EBF">
      <w:pPr>
        <w:spacing w:line="540" w:lineRule="exact"/>
        <w:ind w:firstLine="437"/>
        <w:rPr>
          <w:color w:val="auto"/>
          <w:szCs w:val="21"/>
          <w:highlight w:val="none"/>
        </w:rPr>
      </w:pPr>
    </w:p>
    <w:p w14:paraId="6AFC2C27">
      <w:pPr>
        <w:spacing w:line="360" w:lineRule="auto"/>
        <w:jc w:val="both"/>
        <w:rPr>
          <w:rFonts w:eastAsia="黑体"/>
          <w:b/>
          <w:color w:val="auto"/>
          <w:sz w:val="72"/>
          <w:szCs w:val="72"/>
          <w:highlight w:val="none"/>
        </w:rPr>
      </w:pPr>
    </w:p>
    <w:p w14:paraId="6736BB0B">
      <w:pPr>
        <w:spacing w:line="360" w:lineRule="auto"/>
        <w:jc w:val="center"/>
        <w:rPr>
          <w:rFonts w:eastAsia="黑体"/>
          <w:b/>
          <w:color w:val="auto"/>
          <w:sz w:val="72"/>
          <w:szCs w:val="72"/>
          <w:highlight w:val="none"/>
        </w:rPr>
      </w:pPr>
      <w:r>
        <w:rPr>
          <w:rFonts w:hint="eastAsia" w:eastAsia="黑体"/>
          <w:b/>
          <w:color w:val="auto"/>
          <w:sz w:val="72"/>
          <w:szCs w:val="72"/>
          <w:highlight w:val="none"/>
        </w:rPr>
        <w:t>竞争性磋商文件</w:t>
      </w:r>
    </w:p>
    <w:p w14:paraId="39B27DF9">
      <w:pPr>
        <w:spacing w:line="360" w:lineRule="auto"/>
        <w:ind w:firstLine="437"/>
        <w:jc w:val="center"/>
        <w:rPr>
          <w:color w:val="auto"/>
          <w:sz w:val="28"/>
          <w:szCs w:val="28"/>
          <w:highlight w:val="none"/>
        </w:rPr>
      </w:pPr>
      <w:r>
        <w:rPr>
          <w:color w:val="auto"/>
          <w:highlight w:val="none"/>
        </w:rPr>
        <w:t>项目编号：</w:t>
      </w:r>
      <w:r>
        <w:rPr>
          <w:rFonts w:hint="eastAsia"/>
          <w:color w:val="auto"/>
          <w:highlight w:val="none"/>
        </w:rPr>
        <w:t>KCFW-2026-11764</w:t>
      </w:r>
    </w:p>
    <w:p w14:paraId="0F977F4B">
      <w:pPr>
        <w:spacing w:line="360" w:lineRule="auto"/>
        <w:ind w:firstLine="437"/>
        <w:rPr>
          <w:color w:val="auto"/>
          <w:szCs w:val="21"/>
          <w:highlight w:val="none"/>
        </w:rPr>
      </w:pPr>
    </w:p>
    <w:p w14:paraId="41FB1ED0">
      <w:pPr>
        <w:spacing w:line="360" w:lineRule="auto"/>
        <w:ind w:firstLine="437"/>
        <w:rPr>
          <w:color w:val="auto"/>
          <w:szCs w:val="21"/>
          <w:highlight w:val="none"/>
        </w:rPr>
      </w:pPr>
    </w:p>
    <w:p w14:paraId="59D9DEBD">
      <w:pPr>
        <w:adjustRightInd w:val="0"/>
        <w:snapToGrid w:val="0"/>
        <w:spacing w:line="360" w:lineRule="auto"/>
        <w:rPr>
          <w:rFonts w:eastAsia="黑体"/>
          <w:color w:val="auto"/>
          <w:sz w:val="30"/>
          <w:szCs w:val="30"/>
          <w:highlight w:val="none"/>
        </w:rPr>
      </w:pPr>
    </w:p>
    <w:p w14:paraId="1642D5F3">
      <w:pPr>
        <w:adjustRightInd w:val="0"/>
        <w:snapToGrid w:val="0"/>
        <w:spacing w:line="360" w:lineRule="auto"/>
        <w:ind w:left="3849" w:leftChars="600" w:hanging="2649" w:hangingChars="883"/>
        <w:rPr>
          <w:rFonts w:eastAsia="黑体"/>
          <w:color w:val="auto"/>
          <w:sz w:val="30"/>
          <w:szCs w:val="30"/>
          <w:highlight w:val="none"/>
        </w:rPr>
      </w:pPr>
    </w:p>
    <w:p w14:paraId="1D16843A">
      <w:pPr>
        <w:adjustRightInd w:val="0"/>
        <w:snapToGrid w:val="0"/>
        <w:spacing w:line="360" w:lineRule="auto"/>
        <w:ind w:left="3849" w:leftChars="600" w:hanging="2649" w:hangingChars="883"/>
        <w:rPr>
          <w:rFonts w:eastAsia="黑体"/>
          <w:color w:val="auto"/>
          <w:sz w:val="30"/>
          <w:szCs w:val="30"/>
          <w:highlight w:val="none"/>
        </w:rPr>
      </w:pPr>
    </w:p>
    <w:p w14:paraId="03DB5A59">
      <w:pPr>
        <w:adjustRightInd w:val="0"/>
        <w:snapToGrid w:val="0"/>
        <w:spacing w:line="360" w:lineRule="auto"/>
        <w:ind w:left="3849" w:leftChars="600" w:hanging="2649" w:hangingChars="883"/>
        <w:rPr>
          <w:rFonts w:eastAsia="黑体"/>
          <w:color w:val="auto"/>
          <w:sz w:val="30"/>
          <w:szCs w:val="30"/>
          <w:highlight w:val="none"/>
        </w:rPr>
      </w:pPr>
    </w:p>
    <w:p w14:paraId="1125C16E">
      <w:pPr>
        <w:adjustRightInd w:val="0"/>
        <w:snapToGrid w:val="0"/>
        <w:spacing w:line="360" w:lineRule="auto"/>
        <w:rPr>
          <w:rFonts w:eastAsia="黑体"/>
          <w:color w:val="auto"/>
          <w:sz w:val="30"/>
          <w:szCs w:val="30"/>
          <w:highlight w:val="none"/>
          <w:u w:val="single"/>
        </w:rPr>
      </w:pPr>
      <w:r>
        <w:rPr>
          <w:rFonts w:eastAsia="黑体"/>
          <w:color w:val="auto"/>
          <w:sz w:val="30"/>
          <w:szCs w:val="30"/>
          <w:highlight w:val="none"/>
        </w:rPr>
        <w:t>发包人：</w:t>
      </w:r>
      <w:r>
        <w:rPr>
          <w:rFonts w:eastAsia="黑体"/>
          <w:color w:val="auto"/>
          <w:sz w:val="30"/>
          <w:szCs w:val="30"/>
          <w:highlight w:val="none"/>
          <w:u w:val="single"/>
        </w:rPr>
        <w:t>云南民族村有限责任公司</w:t>
      </w:r>
    </w:p>
    <w:p w14:paraId="707A5C2B">
      <w:pPr>
        <w:adjustRightInd w:val="0"/>
        <w:snapToGrid w:val="0"/>
        <w:spacing w:line="360" w:lineRule="auto"/>
        <w:rPr>
          <w:rFonts w:eastAsia="黑体"/>
          <w:color w:val="auto"/>
          <w:szCs w:val="21"/>
          <w:highlight w:val="none"/>
        </w:rPr>
      </w:pPr>
      <w:r>
        <w:rPr>
          <w:rFonts w:hint="eastAsia" w:eastAsia="黑体"/>
          <w:color w:val="auto"/>
          <w:sz w:val="30"/>
          <w:szCs w:val="30"/>
          <w:highlight w:val="none"/>
        </w:rPr>
        <w:t>招标代理机构（电子签章）：</w:t>
      </w:r>
      <w:r>
        <w:rPr>
          <w:rFonts w:hint="eastAsia" w:eastAsia="黑体"/>
          <w:color w:val="auto"/>
          <w:sz w:val="30"/>
          <w:szCs w:val="30"/>
          <w:highlight w:val="none"/>
          <w:u w:val="single"/>
        </w:rPr>
        <w:t>昆明晨晟招标有限责任公司</w:t>
      </w:r>
    </w:p>
    <w:p w14:paraId="212EDB34">
      <w:pPr>
        <w:spacing w:line="600" w:lineRule="auto"/>
        <w:jc w:val="center"/>
        <w:rPr>
          <w:color w:val="auto"/>
          <w:sz w:val="28"/>
          <w:szCs w:val="28"/>
          <w:highlight w:val="none"/>
        </w:rPr>
      </w:pPr>
      <w:r>
        <w:rPr>
          <w:rFonts w:eastAsia="黑体"/>
          <w:b/>
          <w:color w:val="auto"/>
          <w:kern w:val="11"/>
          <w:sz w:val="32"/>
          <w:szCs w:val="32"/>
          <w:highlight w:val="none"/>
        </w:rPr>
        <w:br w:type="page"/>
      </w:r>
      <w:bookmarkStart w:id="0" w:name="_Toc24104"/>
      <w:bookmarkStart w:id="1" w:name="_Toc305846479"/>
      <w:r>
        <w:rPr>
          <w:color w:val="auto"/>
          <w:sz w:val="28"/>
          <w:szCs w:val="28"/>
          <w:highlight w:val="none"/>
          <w:lang w:val="zh-CN"/>
        </w:rPr>
        <w:t>目录</w:t>
      </w:r>
    </w:p>
    <w:p w14:paraId="1D9C1DDA">
      <w:pPr>
        <w:pStyle w:val="35"/>
        <w:tabs>
          <w:tab w:val="right" w:leader="dot" w:pos="9402"/>
        </w:tabs>
        <w:rPr>
          <w:rFonts w:hint="eastAsia" w:ascii="等线" w:hAnsi="等线" w:eastAsia="等线" w:cs="宋体"/>
          <w:color w:val="auto"/>
          <w:kern w:val="2"/>
          <w:sz w:val="22"/>
          <w:szCs w:val="24"/>
          <w:highlight w:val="none"/>
          <w14:ligatures w14:val="standardContextual"/>
        </w:rPr>
      </w:pPr>
      <w:r>
        <w:rPr>
          <w:color w:val="auto"/>
          <w:sz w:val="24"/>
          <w:szCs w:val="24"/>
          <w:highlight w:val="none"/>
        </w:rPr>
        <w:fldChar w:fldCharType="begin"/>
      </w:r>
      <w:r>
        <w:rPr>
          <w:color w:val="auto"/>
          <w:sz w:val="24"/>
          <w:szCs w:val="24"/>
          <w:highlight w:val="none"/>
        </w:rPr>
        <w:instrText xml:space="preserve"> TOC \o "1-3" \h \z \u </w:instrText>
      </w:r>
      <w:r>
        <w:rPr>
          <w:color w:val="auto"/>
          <w:sz w:val="24"/>
          <w:szCs w:val="24"/>
          <w:highlight w:val="none"/>
        </w:rPr>
        <w:fldChar w:fldCharType="separate"/>
      </w:r>
      <w:r>
        <w:rPr>
          <w:color w:val="auto"/>
          <w:highlight w:val="none"/>
        </w:rPr>
        <w:fldChar w:fldCharType="begin"/>
      </w:r>
      <w:r>
        <w:rPr>
          <w:color w:val="auto"/>
          <w:highlight w:val="none"/>
        </w:rPr>
        <w:instrText xml:space="preserve"> HYPERLINK \l "_Toc243176577" </w:instrText>
      </w:r>
      <w:r>
        <w:rPr>
          <w:color w:val="auto"/>
          <w:highlight w:val="none"/>
        </w:rPr>
        <w:fldChar w:fldCharType="separate"/>
      </w:r>
      <w:r>
        <w:rPr>
          <w:rStyle w:val="61"/>
          <w:rFonts w:eastAsia="黑体"/>
          <w:color w:val="auto"/>
          <w:highlight w:val="none"/>
        </w:rPr>
        <w:t>第一章 竞争性磋商公告</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_Toc243176577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3</w:t>
      </w:r>
      <w:r>
        <w:rPr>
          <w:rFonts w:hint="eastAsia"/>
          <w:color w:val="auto"/>
          <w:highlight w:val="none"/>
        </w:rPr>
        <w:fldChar w:fldCharType="end"/>
      </w:r>
      <w:r>
        <w:rPr>
          <w:rFonts w:hint="eastAsia"/>
          <w:color w:val="auto"/>
          <w:highlight w:val="none"/>
        </w:rPr>
        <w:fldChar w:fldCharType="end"/>
      </w:r>
    </w:p>
    <w:p w14:paraId="0932045F">
      <w:pPr>
        <w:pStyle w:val="35"/>
        <w:tabs>
          <w:tab w:val="right" w:leader="dot" w:pos="9402"/>
        </w:tabs>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"_Toc243176578" </w:instrText>
      </w:r>
      <w:r>
        <w:rPr>
          <w:color w:val="auto"/>
          <w:highlight w:val="none"/>
        </w:rPr>
        <w:fldChar w:fldCharType="separate"/>
      </w:r>
      <w:r>
        <w:rPr>
          <w:rStyle w:val="61"/>
          <w:rFonts w:eastAsia="黑体"/>
          <w:color w:val="auto"/>
          <w:highlight w:val="none"/>
        </w:rPr>
        <w:t>第二章 磋商须知</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_Toc243176578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7</w:t>
      </w:r>
      <w:r>
        <w:rPr>
          <w:rFonts w:hint="eastAsia"/>
          <w:color w:val="auto"/>
          <w:highlight w:val="none"/>
        </w:rPr>
        <w:fldChar w:fldCharType="end"/>
      </w:r>
      <w:r>
        <w:rPr>
          <w:rFonts w:hint="eastAsia"/>
          <w:color w:val="auto"/>
          <w:highlight w:val="none"/>
        </w:rPr>
        <w:fldChar w:fldCharType="end"/>
      </w:r>
    </w:p>
    <w:p w14:paraId="5EDE719F">
      <w:pPr>
        <w:pStyle w:val="45"/>
        <w:tabs>
          <w:tab w:val="right" w:leader="dot" w:pos="9402"/>
        </w:tabs>
        <w:ind w:left="4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"_Toc243176579" </w:instrText>
      </w:r>
      <w:r>
        <w:rPr>
          <w:color w:val="auto"/>
          <w:highlight w:val="none"/>
        </w:rPr>
        <w:fldChar w:fldCharType="separate"/>
      </w:r>
      <w:r>
        <w:rPr>
          <w:rStyle w:val="61"/>
          <w:color w:val="auto"/>
          <w:highlight w:val="none"/>
        </w:rPr>
        <w:t>（一） 总则</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_Toc243176579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12</w:t>
      </w:r>
      <w:r>
        <w:rPr>
          <w:rFonts w:hint="eastAsia"/>
          <w:color w:val="auto"/>
          <w:highlight w:val="none"/>
        </w:rPr>
        <w:fldChar w:fldCharType="end"/>
      </w:r>
      <w:r>
        <w:rPr>
          <w:rFonts w:hint="eastAsia"/>
          <w:color w:val="auto"/>
          <w:highlight w:val="none"/>
        </w:rPr>
        <w:fldChar w:fldCharType="end"/>
      </w:r>
    </w:p>
    <w:p w14:paraId="16B9DB0C">
      <w:pPr>
        <w:pStyle w:val="45"/>
        <w:tabs>
          <w:tab w:val="right" w:leader="dot" w:pos="9402"/>
        </w:tabs>
        <w:ind w:left="4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"_Toc243176580" </w:instrText>
      </w:r>
      <w:r>
        <w:rPr>
          <w:color w:val="auto"/>
          <w:highlight w:val="none"/>
        </w:rPr>
        <w:fldChar w:fldCharType="separate"/>
      </w:r>
      <w:r>
        <w:rPr>
          <w:rStyle w:val="61"/>
          <w:color w:val="auto"/>
          <w:highlight w:val="none"/>
        </w:rPr>
        <w:t>（二）竞争性磋商</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_Toc243176580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14</w:t>
      </w:r>
      <w:r>
        <w:rPr>
          <w:rFonts w:hint="eastAsia"/>
          <w:color w:val="auto"/>
          <w:highlight w:val="none"/>
        </w:rPr>
        <w:fldChar w:fldCharType="end"/>
      </w:r>
      <w:r>
        <w:rPr>
          <w:rFonts w:hint="eastAsia"/>
          <w:color w:val="auto"/>
          <w:highlight w:val="none"/>
        </w:rPr>
        <w:fldChar w:fldCharType="end"/>
      </w:r>
    </w:p>
    <w:p w14:paraId="73151F9E">
      <w:pPr>
        <w:pStyle w:val="35"/>
        <w:tabs>
          <w:tab w:val="right" w:leader="dot" w:pos="9402"/>
        </w:tabs>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"_Toc243176581" </w:instrText>
      </w:r>
      <w:r>
        <w:rPr>
          <w:color w:val="auto"/>
          <w:highlight w:val="none"/>
        </w:rPr>
        <w:fldChar w:fldCharType="separate"/>
      </w:r>
      <w:r>
        <w:rPr>
          <w:rStyle w:val="61"/>
          <w:rFonts w:eastAsia="黑体"/>
          <w:color w:val="auto"/>
          <w:highlight w:val="none"/>
        </w:rPr>
        <w:t>第三章 评审办法</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_Toc243176581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16</w:t>
      </w:r>
      <w:r>
        <w:rPr>
          <w:rFonts w:hint="eastAsia"/>
          <w:color w:val="auto"/>
          <w:highlight w:val="none"/>
        </w:rPr>
        <w:fldChar w:fldCharType="end"/>
      </w:r>
      <w:r>
        <w:rPr>
          <w:rFonts w:hint="eastAsia"/>
          <w:color w:val="auto"/>
          <w:highlight w:val="none"/>
        </w:rPr>
        <w:fldChar w:fldCharType="end"/>
      </w:r>
    </w:p>
    <w:p w14:paraId="0C6ADC73">
      <w:pPr>
        <w:pStyle w:val="27"/>
        <w:tabs>
          <w:tab w:val="right" w:leader="dot" w:pos="9402"/>
        </w:tabs>
        <w:ind w:left="8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"_Toc243176582" </w:instrText>
      </w:r>
      <w:r>
        <w:rPr>
          <w:color w:val="auto"/>
          <w:highlight w:val="none"/>
        </w:rPr>
        <w:fldChar w:fldCharType="separate"/>
      </w:r>
      <w:r>
        <w:rPr>
          <w:rStyle w:val="61"/>
          <w:color w:val="auto"/>
          <w:highlight w:val="none"/>
        </w:rPr>
        <w:t>2.1磋商会议程序</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_Toc243176582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19</w:t>
      </w:r>
      <w:r>
        <w:rPr>
          <w:rFonts w:hint="eastAsia"/>
          <w:color w:val="auto"/>
          <w:highlight w:val="none"/>
        </w:rPr>
        <w:fldChar w:fldCharType="end"/>
      </w:r>
      <w:r>
        <w:rPr>
          <w:rFonts w:hint="eastAsia"/>
          <w:color w:val="auto"/>
          <w:highlight w:val="none"/>
        </w:rPr>
        <w:fldChar w:fldCharType="end"/>
      </w:r>
    </w:p>
    <w:p w14:paraId="7A97D88D">
      <w:pPr>
        <w:pStyle w:val="27"/>
        <w:tabs>
          <w:tab w:val="right" w:leader="dot" w:pos="9402"/>
        </w:tabs>
        <w:ind w:left="8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"_Toc243176583" </w:instrText>
      </w:r>
      <w:r>
        <w:rPr>
          <w:color w:val="auto"/>
          <w:highlight w:val="none"/>
        </w:rPr>
        <w:fldChar w:fldCharType="separate"/>
      </w:r>
      <w:r>
        <w:rPr>
          <w:rStyle w:val="61"/>
          <w:color w:val="auto"/>
          <w:highlight w:val="none"/>
        </w:rPr>
        <w:t>2.2磋商方法：采用综合评分法。</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_Toc243176583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19</w:t>
      </w:r>
      <w:r>
        <w:rPr>
          <w:rFonts w:hint="eastAsia"/>
          <w:color w:val="auto"/>
          <w:highlight w:val="none"/>
        </w:rPr>
        <w:fldChar w:fldCharType="end"/>
      </w:r>
      <w:r>
        <w:rPr>
          <w:rFonts w:hint="eastAsia"/>
          <w:color w:val="auto"/>
          <w:highlight w:val="none"/>
        </w:rPr>
        <w:fldChar w:fldCharType="end"/>
      </w:r>
    </w:p>
    <w:p w14:paraId="2E5BA2F1">
      <w:pPr>
        <w:pStyle w:val="27"/>
        <w:tabs>
          <w:tab w:val="right" w:leader="dot" w:pos="9402"/>
        </w:tabs>
        <w:ind w:left="8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"_Toc243176584" </w:instrText>
      </w:r>
      <w:r>
        <w:rPr>
          <w:color w:val="auto"/>
          <w:highlight w:val="none"/>
        </w:rPr>
        <w:fldChar w:fldCharType="separate"/>
      </w:r>
      <w:r>
        <w:rPr>
          <w:rStyle w:val="61"/>
          <w:color w:val="auto"/>
          <w:highlight w:val="none"/>
        </w:rPr>
        <w:t>2.3评审标准</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_Toc243176584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19</w:t>
      </w:r>
      <w:r>
        <w:rPr>
          <w:rFonts w:hint="eastAsia"/>
          <w:color w:val="auto"/>
          <w:highlight w:val="none"/>
        </w:rPr>
        <w:fldChar w:fldCharType="end"/>
      </w:r>
      <w:r>
        <w:rPr>
          <w:rFonts w:hint="eastAsia"/>
          <w:color w:val="auto"/>
          <w:highlight w:val="none"/>
        </w:rPr>
        <w:fldChar w:fldCharType="end"/>
      </w:r>
    </w:p>
    <w:p w14:paraId="0C86CC00">
      <w:pPr>
        <w:pStyle w:val="27"/>
        <w:tabs>
          <w:tab w:val="right" w:leader="dot" w:pos="9402"/>
        </w:tabs>
        <w:ind w:left="8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"_Toc243176585" </w:instrText>
      </w:r>
      <w:r>
        <w:rPr>
          <w:color w:val="auto"/>
          <w:highlight w:val="none"/>
        </w:rPr>
        <w:fldChar w:fldCharType="separate"/>
      </w:r>
      <w:r>
        <w:rPr>
          <w:rStyle w:val="61"/>
          <w:color w:val="auto"/>
          <w:highlight w:val="none"/>
        </w:rPr>
        <w:t>2.3.1 初步评审标准</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_Toc243176585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19</w:t>
      </w:r>
      <w:r>
        <w:rPr>
          <w:rFonts w:hint="eastAsia"/>
          <w:color w:val="auto"/>
          <w:highlight w:val="none"/>
        </w:rPr>
        <w:fldChar w:fldCharType="end"/>
      </w:r>
      <w:r>
        <w:rPr>
          <w:rFonts w:hint="eastAsia"/>
          <w:color w:val="auto"/>
          <w:highlight w:val="none"/>
        </w:rPr>
        <w:fldChar w:fldCharType="end"/>
      </w:r>
    </w:p>
    <w:p w14:paraId="2A4CC450">
      <w:pPr>
        <w:pStyle w:val="27"/>
        <w:tabs>
          <w:tab w:val="right" w:leader="dot" w:pos="9402"/>
        </w:tabs>
        <w:ind w:left="8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"_Toc243176586" </w:instrText>
      </w:r>
      <w:r>
        <w:rPr>
          <w:color w:val="auto"/>
          <w:highlight w:val="none"/>
        </w:rPr>
        <w:fldChar w:fldCharType="separate"/>
      </w:r>
      <w:r>
        <w:rPr>
          <w:rStyle w:val="61"/>
          <w:color w:val="auto"/>
          <w:highlight w:val="none"/>
        </w:rPr>
        <w:t>2.3.2 详细评审标准的分值构成与评审标准</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_Toc243176586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20</w:t>
      </w:r>
      <w:r>
        <w:rPr>
          <w:rFonts w:hint="eastAsia"/>
          <w:color w:val="auto"/>
          <w:highlight w:val="none"/>
        </w:rPr>
        <w:fldChar w:fldCharType="end"/>
      </w:r>
      <w:r>
        <w:rPr>
          <w:rFonts w:hint="eastAsia"/>
          <w:color w:val="auto"/>
          <w:highlight w:val="none"/>
        </w:rPr>
        <w:fldChar w:fldCharType="end"/>
      </w:r>
    </w:p>
    <w:p w14:paraId="5E140043">
      <w:pPr>
        <w:pStyle w:val="27"/>
        <w:tabs>
          <w:tab w:val="right" w:leader="dot" w:pos="9402"/>
        </w:tabs>
        <w:ind w:left="8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"_Toc243176587" </w:instrText>
      </w:r>
      <w:r>
        <w:rPr>
          <w:color w:val="auto"/>
          <w:highlight w:val="none"/>
        </w:rPr>
        <w:fldChar w:fldCharType="separate"/>
      </w:r>
      <w:r>
        <w:rPr>
          <w:rStyle w:val="61"/>
          <w:color w:val="auto"/>
          <w:highlight w:val="none"/>
        </w:rPr>
        <w:t>2.4初步评审</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_Toc243176587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20</w:t>
      </w:r>
      <w:r>
        <w:rPr>
          <w:rFonts w:hint="eastAsia"/>
          <w:color w:val="auto"/>
          <w:highlight w:val="none"/>
        </w:rPr>
        <w:fldChar w:fldCharType="end"/>
      </w:r>
      <w:r>
        <w:rPr>
          <w:rFonts w:hint="eastAsia"/>
          <w:color w:val="auto"/>
          <w:highlight w:val="none"/>
        </w:rPr>
        <w:fldChar w:fldCharType="end"/>
      </w:r>
    </w:p>
    <w:p w14:paraId="405AE3F4">
      <w:pPr>
        <w:pStyle w:val="27"/>
        <w:tabs>
          <w:tab w:val="right" w:leader="dot" w:pos="9402"/>
        </w:tabs>
        <w:ind w:left="8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"_Toc243176588" </w:instrText>
      </w:r>
      <w:r>
        <w:rPr>
          <w:color w:val="auto"/>
          <w:highlight w:val="none"/>
        </w:rPr>
        <w:fldChar w:fldCharType="separate"/>
      </w:r>
      <w:r>
        <w:rPr>
          <w:rStyle w:val="61"/>
          <w:color w:val="auto"/>
          <w:highlight w:val="none"/>
        </w:rPr>
        <w:t>2.5详细评审</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_Toc243176588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20</w:t>
      </w:r>
      <w:r>
        <w:rPr>
          <w:rFonts w:hint="eastAsia"/>
          <w:color w:val="auto"/>
          <w:highlight w:val="none"/>
        </w:rPr>
        <w:fldChar w:fldCharType="end"/>
      </w:r>
      <w:r>
        <w:rPr>
          <w:rFonts w:hint="eastAsia"/>
          <w:color w:val="auto"/>
          <w:highlight w:val="none"/>
        </w:rPr>
        <w:fldChar w:fldCharType="end"/>
      </w:r>
    </w:p>
    <w:p w14:paraId="79E7EAC4">
      <w:pPr>
        <w:pStyle w:val="27"/>
        <w:tabs>
          <w:tab w:val="right" w:leader="dot" w:pos="9402"/>
        </w:tabs>
        <w:ind w:left="8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"_Toc243176589" </w:instrText>
      </w:r>
      <w:r>
        <w:rPr>
          <w:color w:val="auto"/>
          <w:highlight w:val="none"/>
        </w:rPr>
        <w:fldChar w:fldCharType="separate"/>
      </w:r>
      <w:r>
        <w:rPr>
          <w:rStyle w:val="61"/>
          <w:color w:val="auto"/>
          <w:highlight w:val="none"/>
        </w:rPr>
        <w:t>2.6评分要求和统计分数原则</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_Toc243176589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20</w:t>
      </w:r>
      <w:r>
        <w:rPr>
          <w:rFonts w:hint="eastAsia"/>
          <w:color w:val="auto"/>
          <w:highlight w:val="none"/>
        </w:rPr>
        <w:fldChar w:fldCharType="end"/>
      </w:r>
      <w:r>
        <w:rPr>
          <w:rFonts w:hint="eastAsia"/>
          <w:color w:val="auto"/>
          <w:highlight w:val="none"/>
        </w:rPr>
        <w:fldChar w:fldCharType="end"/>
      </w:r>
    </w:p>
    <w:p w14:paraId="51266D51">
      <w:pPr>
        <w:pStyle w:val="27"/>
        <w:tabs>
          <w:tab w:val="right" w:leader="dot" w:pos="9402"/>
        </w:tabs>
        <w:ind w:left="8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"_Toc243176590" </w:instrText>
      </w:r>
      <w:r>
        <w:rPr>
          <w:color w:val="auto"/>
          <w:highlight w:val="none"/>
        </w:rPr>
        <w:fldChar w:fldCharType="separate"/>
      </w:r>
      <w:r>
        <w:rPr>
          <w:rStyle w:val="61"/>
          <w:color w:val="auto"/>
          <w:highlight w:val="none"/>
        </w:rPr>
        <w:t>2.7竞争性磋商响应文件的澄清和补正</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_Toc243176590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21</w:t>
      </w:r>
      <w:r>
        <w:rPr>
          <w:rFonts w:hint="eastAsia"/>
          <w:color w:val="auto"/>
          <w:highlight w:val="none"/>
        </w:rPr>
        <w:fldChar w:fldCharType="end"/>
      </w:r>
      <w:r>
        <w:rPr>
          <w:rFonts w:hint="eastAsia"/>
          <w:color w:val="auto"/>
          <w:highlight w:val="none"/>
        </w:rPr>
        <w:fldChar w:fldCharType="end"/>
      </w:r>
    </w:p>
    <w:p w14:paraId="4A3CB00A">
      <w:pPr>
        <w:pStyle w:val="27"/>
        <w:tabs>
          <w:tab w:val="right" w:leader="dot" w:pos="9402"/>
        </w:tabs>
        <w:ind w:left="8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"_Toc243176591" </w:instrText>
      </w:r>
      <w:r>
        <w:rPr>
          <w:color w:val="auto"/>
          <w:highlight w:val="none"/>
        </w:rPr>
        <w:fldChar w:fldCharType="separate"/>
      </w:r>
      <w:r>
        <w:rPr>
          <w:rStyle w:val="61"/>
          <w:color w:val="auto"/>
          <w:highlight w:val="none"/>
        </w:rPr>
        <w:t>2.8成交候选人推荐</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_Toc243176591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21</w:t>
      </w:r>
      <w:r>
        <w:rPr>
          <w:rFonts w:hint="eastAsia"/>
          <w:color w:val="auto"/>
          <w:highlight w:val="none"/>
        </w:rPr>
        <w:fldChar w:fldCharType="end"/>
      </w:r>
      <w:r>
        <w:rPr>
          <w:rFonts w:hint="eastAsia"/>
          <w:color w:val="auto"/>
          <w:highlight w:val="none"/>
        </w:rPr>
        <w:fldChar w:fldCharType="end"/>
      </w:r>
    </w:p>
    <w:p w14:paraId="153A53E4">
      <w:pPr>
        <w:pStyle w:val="35"/>
        <w:tabs>
          <w:tab w:val="right" w:leader="dot" w:pos="9402"/>
        </w:tabs>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"_Toc243176592" </w:instrText>
      </w:r>
      <w:r>
        <w:rPr>
          <w:color w:val="auto"/>
          <w:highlight w:val="none"/>
        </w:rPr>
        <w:fldChar w:fldCharType="separate"/>
      </w:r>
      <w:r>
        <w:rPr>
          <w:rStyle w:val="61"/>
          <w:rFonts w:eastAsia="黑体"/>
          <w:color w:val="auto"/>
          <w:highlight w:val="none"/>
        </w:rPr>
        <w:t>第四章  合同条款及格式</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_Toc243176592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23</w:t>
      </w:r>
      <w:r>
        <w:rPr>
          <w:rFonts w:hint="eastAsia"/>
          <w:color w:val="auto"/>
          <w:highlight w:val="none"/>
        </w:rPr>
        <w:fldChar w:fldCharType="end"/>
      </w:r>
      <w:r>
        <w:rPr>
          <w:rFonts w:hint="eastAsia"/>
          <w:color w:val="auto"/>
          <w:highlight w:val="none"/>
        </w:rPr>
        <w:fldChar w:fldCharType="end"/>
      </w:r>
    </w:p>
    <w:p w14:paraId="79B106A6">
      <w:pPr>
        <w:pStyle w:val="35"/>
        <w:tabs>
          <w:tab w:val="right" w:leader="dot" w:pos="9402"/>
        </w:tabs>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"_Toc243176593" </w:instrText>
      </w:r>
      <w:r>
        <w:rPr>
          <w:color w:val="auto"/>
          <w:highlight w:val="none"/>
        </w:rPr>
        <w:fldChar w:fldCharType="separate"/>
      </w:r>
      <w:r>
        <w:rPr>
          <w:rStyle w:val="61"/>
          <w:rFonts w:eastAsia="黑体"/>
          <w:color w:val="auto"/>
          <w:highlight w:val="none"/>
        </w:rPr>
        <w:t>第五章  服务要求</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_Toc243176593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37</w:t>
      </w:r>
      <w:r>
        <w:rPr>
          <w:rFonts w:hint="eastAsia"/>
          <w:color w:val="auto"/>
          <w:highlight w:val="none"/>
        </w:rPr>
        <w:fldChar w:fldCharType="end"/>
      </w:r>
      <w:r>
        <w:rPr>
          <w:rFonts w:hint="eastAsia"/>
          <w:color w:val="auto"/>
          <w:highlight w:val="none"/>
        </w:rPr>
        <w:fldChar w:fldCharType="end"/>
      </w:r>
    </w:p>
    <w:p w14:paraId="175910AF">
      <w:pPr>
        <w:pStyle w:val="35"/>
        <w:tabs>
          <w:tab w:val="right" w:leader="dot" w:pos="9402"/>
        </w:tabs>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"_Toc243176594" </w:instrText>
      </w:r>
      <w:r>
        <w:rPr>
          <w:color w:val="auto"/>
          <w:highlight w:val="none"/>
        </w:rPr>
        <w:fldChar w:fldCharType="separate"/>
      </w:r>
      <w:r>
        <w:rPr>
          <w:rStyle w:val="61"/>
          <w:rFonts w:eastAsia="黑体"/>
          <w:color w:val="auto"/>
          <w:highlight w:val="none"/>
        </w:rPr>
        <w:t>第六章  竞争性磋商响应文件格式</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_Toc243176594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42</w:t>
      </w:r>
      <w:r>
        <w:rPr>
          <w:rFonts w:hint="eastAsia"/>
          <w:color w:val="auto"/>
          <w:highlight w:val="none"/>
        </w:rPr>
        <w:fldChar w:fldCharType="end"/>
      </w:r>
      <w:r>
        <w:rPr>
          <w:rFonts w:hint="eastAsia"/>
          <w:color w:val="auto"/>
          <w:highlight w:val="none"/>
        </w:rPr>
        <w:fldChar w:fldCharType="end"/>
      </w:r>
    </w:p>
    <w:p w14:paraId="4EE1BF26">
      <w:pPr>
        <w:pStyle w:val="45"/>
        <w:tabs>
          <w:tab w:val="right" w:leader="dot" w:pos="9402"/>
        </w:tabs>
        <w:ind w:left="4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"_Toc243176595" </w:instrText>
      </w:r>
      <w:r>
        <w:rPr>
          <w:color w:val="auto"/>
          <w:highlight w:val="none"/>
        </w:rPr>
        <w:fldChar w:fldCharType="separate"/>
      </w:r>
      <w:r>
        <w:rPr>
          <w:rStyle w:val="61"/>
          <w:color w:val="auto"/>
          <w:highlight w:val="none"/>
        </w:rPr>
        <w:t>一、资格审查部分格式</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_Toc243176595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43</w:t>
      </w:r>
      <w:r>
        <w:rPr>
          <w:rFonts w:hint="eastAsia"/>
          <w:color w:val="auto"/>
          <w:highlight w:val="none"/>
        </w:rPr>
        <w:fldChar w:fldCharType="end"/>
      </w:r>
      <w:r>
        <w:rPr>
          <w:rFonts w:hint="eastAsia"/>
          <w:color w:val="auto"/>
          <w:highlight w:val="none"/>
        </w:rPr>
        <w:fldChar w:fldCharType="end"/>
      </w:r>
    </w:p>
    <w:p w14:paraId="456EE9C6">
      <w:pPr>
        <w:pStyle w:val="45"/>
        <w:tabs>
          <w:tab w:val="right" w:leader="dot" w:pos="9402"/>
        </w:tabs>
        <w:ind w:left="4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"_Toc243176596" </w:instrText>
      </w:r>
      <w:r>
        <w:rPr>
          <w:color w:val="auto"/>
          <w:highlight w:val="none"/>
        </w:rPr>
        <w:fldChar w:fldCharType="separate"/>
      </w:r>
      <w:r>
        <w:rPr>
          <w:rStyle w:val="61"/>
          <w:color w:val="auto"/>
          <w:highlight w:val="none"/>
        </w:rPr>
        <w:t>（一）竞争性磋商函</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_Toc243176596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43</w:t>
      </w:r>
      <w:r>
        <w:rPr>
          <w:rFonts w:hint="eastAsia"/>
          <w:color w:val="auto"/>
          <w:highlight w:val="none"/>
        </w:rPr>
        <w:fldChar w:fldCharType="end"/>
      </w:r>
      <w:r>
        <w:rPr>
          <w:rFonts w:hint="eastAsia"/>
          <w:color w:val="auto"/>
          <w:highlight w:val="none"/>
        </w:rPr>
        <w:fldChar w:fldCharType="end"/>
      </w:r>
    </w:p>
    <w:p w14:paraId="4B0B2A05">
      <w:pPr>
        <w:pStyle w:val="45"/>
        <w:tabs>
          <w:tab w:val="right" w:leader="dot" w:pos="9402"/>
        </w:tabs>
        <w:ind w:left="4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"_Toc243176597" </w:instrText>
      </w:r>
      <w:r>
        <w:rPr>
          <w:color w:val="auto"/>
          <w:highlight w:val="none"/>
        </w:rPr>
        <w:fldChar w:fldCharType="separate"/>
      </w:r>
      <w:r>
        <w:rPr>
          <w:rStyle w:val="61"/>
          <w:color w:val="auto"/>
          <w:highlight w:val="none"/>
        </w:rPr>
        <w:t>（二）法定凭证及律师事务所执业许可证</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_Toc243176597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44</w:t>
      </w:r>
      <w:r>
        <w:rPr>
          <w:rFonts w:hint="eastAsia"/>
          <w:color w:val="auto"/>
          <w:highlight w:val="none"/>
        </w:rPr>
        <w:fldChar w:fldCharType="end"/>
      </w:r>
      <w:r>
        <w:rPr>
          <w:rFonts w:hint="eastAsia"/>
          <w:color w:val="auto"/>
          <w:highlight w:val="none"/>
        </w:rPr>
        <w:fldChar w:fldCharType="end"/>
      </w:r>
    </w:p>
    <w:p w14:paraId="0657DA89">
      <w:pPr>
        <w:pStyle w:val="45"/>
        <w:tabs>
          <w:tab w:val="right" w:leader="dot" w:pos="9402"/>
        </w:tabs>
        <w:ind w:left="4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"_Toc243176598" </w:instrText>
      </w:r>
      <w:r>
        <w:rPr>
          <w:color w:val="auto"/>
          <w:highlight w:val="none"/>
        </w:rPr>
        <w:fldChar w:fldCharType="separate"/>
      </w:r>
      <w:r>
        <w:rPr>
          <w:rStyle w:val="61"/>
          <w:color w:val="auto"/>
          <w:highlight w:val="none"/>
        </w:rPr>
        <w:t>（三）财务状况</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_Toc243176598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44</w:t>
      </w:r>
      <w:r>
        <w:rPr>
          <w:rFonts w:hint="eastAsia"/>
          <w:color w:val="auto"/>
          <w:highlight w:val="none"/>
        </w:rPr>
        <w:fldChar w:fldCharType="end"/>
      </w:r>
      <w:r>
        <w:rPr>
          <w:rFonts w:hint="eastAsia"/>
          <w:color w:val="auto"/>
          <w:highlight w:val="none"/>
        </w:rPr>
        <w:fldChar w:fldCharType="end"/>
      </w:r>
    </w:p>
    <w:p w14:paraId="73676FA4">
      <w:pPr>
        <w:pStyle w:val="45"/>
        <w:tabs>
          <w:tab w:val="right" w:leader="dot" w:pos="9402"/>
        </w:tabs>
        <w:ind w:left="4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"_Toc243176599" </w:instrText>
      </w:r>
      <w:r>
        <w:rPr>
          <w:color w:val="auto"/>
          <w:highlight w:val="none"/>
        </w:rPr>
        <w:fldChar w:fldCharType="separate"/>
      </w:r>
      <w:r>
        <w:rPr>
          <w:rStyle w:val="61"/>
          <w:color w:val="auto"/>
          <w:highlight w:val="none"/>
        </w:rPr>
        <w:t>（四）项目负责人</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_Toc243176599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44</w:t>
      </w:r>
      <w:r>
        <w:rPr>
          <w:rFonts w:hint="eastAsia"/>
          <w:color w:val="auto"/>
          <w:highlight w:val="none"/>
        </w:rPr>
        <w:fldChar w:fldCharType="end"/>
      </w:r>
      <w:r>
        <w:rPr>
          <w:rFonts w:hint="eastAsia"/>
          <w:color w:val="auto"/>
          <w:highlight w:val="none"/>
        </w:rPr>
        <w:fldChar w:fldCharType="end"/>
      </w:r>
    </w:p>
    <w:p w14:paraId="6232D76B">
      <w:pPr>
        <w:pStyle w:val="45"/>
        <w:tabs>
          <w:tab w:val="right" w:leader="dot" w:pos="9402"/>
        </w:tabs>
        <w:ind w:left="4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"_Toc243176600" </w:instrText>
      </w:r>
      <w:r>
        <w:rPr>
          <w:color w:val="auto"/>
          <w:highlight w:val="none"/>
        </w:rPr>
        <w:fldChar w:fldCharType="separate"/>
      </w:r>
      <w:r>
        <w:rPr>
          <w:rStyle w:val="61"/>
          <w:color w:val="auto"/>
          <w:highlight w:val="none"/>
        </w:rPr>
        <w:t>（五）有依法缴纳税收和社会保障资金的良好记录</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_Toc243176600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44</w:t>
      </w:r>
      <w:r>
        <w:rPr>
          <w:rFonts w:hint="eastAsia"/>
          <w:color w:val="auto"/>
          <w:highlight w:val="none"/>
        </w:rPr>
        <w:fldChar w:fldCharType="end"/>
      </w:r>
      <w:r>
        <w:rPr>
          <w:rFonts w:hint="eastAsia"/>
          <w:color w:val="auto"/>
          <w:highlight w:val="none"/>
        </w:rPr>
        <w:fldChar w:fldCharType="end"/>
      </w:r>
    </w:p>
    <w:p w14:paraId="537F12FD">
      <w:pPr>
        <w:pStyle w:val="45"/>
        <w:tabs>
          <w:tab w:val="right" w:leader="dot" w:pos="9402"/>
        </w:tabs>
        <w:ind w:left="4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"_Toc243176601" </w:instrText>
      </w:r>
      <w:r>
        <w:rPr>
          <w:color w:val="auto"/>
          <w:highlight w:val="none"/>
        </w:rPr>
        <w:fldChar w:fldCharType="separate"/>
      </w:r>
      <w:r>
        <w:rPr>
          <w:rStyle w:val="61"/>
          <w:color w:val="auto"/>
          <w:highlight w:val="none"/>
        </w:rPr>
        <w:t>（六）信誉要求</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_Toc243176601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44</w:t>
      </w:r>
      <w:r>
        <w:rPr>
          <w:rFonts w:hint="eastAsia"/>
          <w:color w:val="auto"/>
          <w:highlight w:val="none"/>
        </w:rPr>
        <w:fldChar w:fldCharType="end"/>
      </w:r>
      <w:r>
        <w:rPr>
          <w:rFonts w:hint="eastAsia"/>
          <w:color w:val="auto"/>
          <w:highlight w:val="none"/>
        </w:rPr>
        <w:fldChar w:fldCharType="end"/>
      </w:r>
    </w:p>
    <w:p w14:paraId="4D085C0F">
      <w:pPr>
        <w:pStyle w:val="45"/>
        <w:tabs>
          <w:tab w:val="right" w:leader="dot" w:pos="9402"/>
        </w:tabs>
        <w:ind w:left="4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"_Toc243176602" </w:instrText>
      </w:r>
      <w:r>
        <w:rPr>
          <w:color w:val="auto"/>
          <w:highlight w:val="none"/>
        </w:rPr>
        <w:fldChar w:fldCharType="separate"/>
      </w:r>
      <w:r>
        <w:rPr>
          <w:rStyle w:val="61"/>
          <w:color w:val="auto"/>
          <w:highlight w:val="none"/>
        </w:rPr>
        <w:t>（七）法定代表人身份证明书</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_Toc243176602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44</w:t>
      </w:r>
      <w:r>
        <w:rPr>
          <w:rFonts w:hint="eastAsia"/>
          <w:color w:val="auto"/>
          <w:highlight w:val="none"/>
        </w:rPr>
        <w:fldChar w:fldCharType="end"/>
      </w:r>
      <w:r>
        <w:rPr>
          <w:rFonts w:hint="eastAsia"/>
          <w:color w:val="auto"/>
          <w:highlight w:val="none"/>
        </w:rPr>
        <w:fldChar w:fldCharType="end"/>
      </w:r>
    </w:p>
    <w:p w14:paraId="54C097B8">
      <w:pPr>
        <w:pStyle w:val="45"/>
        <w:tabs>
          <w:tab w:val="right" w:leader="dot" w:pos="9402"/>
        </w:tabs>
        <w:ind w:left="4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"_Toc243176603" </w:instrText>
      </w:r>
      <w:r>
        <w:rPr>
          <w:color w:val="auto"/>
          <w:highlight w:val="none"/>
        </w:rPr>
        <w:fldChar w:fldCharType="separate"/>
      </w:r>
      <w:r>
        <w:rPr>
          <w:rStyle w:val="61"/>
          <w:color w:val="auto"/>
          <w:highlight w:val="none"/>
        </w:rPr>
        <w:t>（八）授权委托书</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_Toc243176603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45</w:t>
      </w:r>
      <w:r>
        <w:rPr>
          <w:rFonts w:hint="eastAsia"/>
          <w:color w:val="auto"/>
          <w:highlight w:val="none"/>
        </w:rPr>
        <w:fldChar w:fldCharType="end"/>
      </w:r>
      <w:r>
        <w:rPr>
          <w:rFonts w:hint="eastAsia"/>
          <w:color w:val="auto"/>
          <w:highlight w:val="none"/>
        </w:rPr>
        <w:fldChar w:fldCharType="end"/>
      </w:r>
    </w:p>
    <w:p w14:paraId="7B8959BD">
      <w:pPr>
        <w:pStyle w:val="45"/>
        <w:tabs>
          <w:tab w:val="right" w:leader="dot" w:pos="9402"/>
        </w:tabs>
        <w:ind w:left="4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"_Toc243176604" </w:instrText>
      </w:r>
      <w:r>
        <w:rPr>
          <w:color w:val="auto"/>
          <w:highlight w:val="none"/>
        </w:rPr>
        <w:fldChar w:fldCharType="separate"/>
      </w:r>
      <w:r>
        <w:rPr>
          <w:rStyle w:val="61"/>
          <w:color w:val="auto"/>
          <w:highlight w:val="none"/>
        </w:rPr>
        <w:t>（九）廉政承诺书</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_Toc243176604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46</w:t>
      </w:r>
      <w:r>
        <w:rPr>
          <w:rFonts w:hint="eastAsia"/>
          <w:color w:val="auto"/>
          <w:highlight w:val="none"/>
        </w:rPr>
        <w:fldChar w:fldCharType="end"/>
      </w:r>
      <w:r>
        <w:rPr>
          <w:rFonts w:hint="eastAsia"/>
          <w:color w:val="auto"/>
          <w:highlight w:val="none"/>
        </w:rPr>
        <w:fldChar w:fldCharType="end"/>
      </w:r>
    </w:p>
    <w:p w14:paraId="5F449714">
      <w:pPr>
        <w:pStyle w:val="45"/>
        <w:tabs>
          <w:tab w:val="right" w:leader="dot" w:pos="9402"/>
        </w:tabs>
        <w:ind w:left="4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"_Toc243176605" </w:instrText>
      </w:r>
      <w:r>
        <w:rPr>
          <w:color w:val="auto"/>
          <w:highlight w:val="none"/>
        </w:rPr>
        <w:fldChar w:fldCharType="separate"/>
      </w:r>
      <w:r>
        <w:rPr>
          <w:rStyle w:val="61"/>
          <w:color w:val="auto"/>
          <w:highlight w:val="none"/>
        </w:rPr>
        <w:t>二、商务部分格式</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_Toc243176605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47</w:t>
      </w:r>
      <w:r>
        <w:rPr>
          <w:rFonts w:hint="eastAsia"/>
          <w:color w:val="auto"/>
          <w:highlight w:val="none"/>
        </w:rPr>
        <w:fldChar w:fldCharType="end"/>
      </w:r>
      <w:r>
        <w:rPr>
          <w:rFonts w:hint="eastAsia"/>
          <w:color w:val="auto"/>
          <w:highlight w:val="none"/>
        </w:rPr>
        <w:fldChar w:fldCharType="end"/>
      </w:r>
    </w:p>
    <w:p w14:paraId="6564B800">
      <w:pPr>
        <w:pStyle w:val="45"/>
        <w:tabs>
          <w:tab w:val="right" w:leader="dot" w:pos="9402"/>
        </w:tabs>
        <w:ind w:left="4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"_Toc243176606" </w:instrText>
      </w:r>
      <w:r>
        <w:rPr>
          <w:color w:val="auto"/>
          <w:highlight w:val="none"/>
        </w:rPr>
        <w:fldChar w:fldCharType="separate"/>
      </w:r>
      <w:r>
        <w:rPr>
          <w:rStyle w:val="61"/>
          <w:color w:val="auto"/>
          <w:highlight w:val="none"/>
        </w:rPr>
        <w:t>（一）磋商报价一览表</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_Toc243176606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47</w:t>
      </w:r>
      <w:r>
        <w:rPr>
          <w:rFonts w:hint="eastAsia"/>
          <w:color w:val="auto"/>
          <w:highlight w:val="none"/>
        </w:rPr>
        <w:fldChar w:fldCharType="end"/>
      </w:r>
      <w:r>
        <w:rPr>
          <w:rFonts w:hint="eastAsia"/>
          <w:color w:val="auto"/>
          <w:highlight w:val="none"/>
        </w:rPr>
        <w:fldChar w:fldCharType="end"/>
      </w:r>
    </w:p>
    <w:p w14:paraId="63F3BAC1">
      <w:pPr>
        <w:pStyle w:val="45"/>
        <w:tabs>
          <w:tab w:val="right" w:leader="dot" w:pos="9402"/>
        </w:tabs>
        <w:ind w:left="4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"_Toc243176607" </w:instrText>
      </w:r>
      <w:r>
        <w:rPr>
          <w:color w:val="auto"/>
          <w:highlight w:val="none"/>
        </w:rPr>
        <w:fldChar w:fldCharType="separate"/>
      </w:r>
      <w:r>
        <w:rPr>
          <w:rStyle w:val="61"/>
          <w:color w:val="auto"/>
          <w:highlight w:val="none"/>
        </w:rPr>
        <w:t>（二）二次报价及补充承诺表</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_Toc243176607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48</w:t>
      </w:r>
      <w:r>
        <w:rPr>
          <w:rFonts w:hint="eastAsia"/>
          <w:color w:val="auto"/>
          <w:highlight w:val="none"/>
        </w:rPr>
        <w:fldChar w:fldCharType="end"/>
      </w:r>
      <w:r>
        <w:rPr>
          <w:rFonts w:hint="eastAsia"/>
          <w:color w:val="auto"/>
          <w:highlight w:val="none"/>
        </w:rPr>
        <w:fldChar w:fldCharType="end"/>
      </w:r>
    </w:p>
    <w:p w14:paraId="18506764">
      <w:pPr>
        <w:pStyle w:val="45"/>
        <w:tabs>
          <w:tab w:val="right" w:leader="dot" w:pos="9402"/>
        </w:tabs>
        <w:ind w:left="4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"_Toc243176608" </w:instrText>
      </w:r>
      <w:r>
        <w:rPr>
          <w:color w:val="auto"/>
          <w:highlight w:val="none"/>
        </w:rPr>
        <w:fldChar w:fldCharType="separate"/>
      </w:r>
      <w:r>
        <w:rPr>
          <w:rStyle w:val="61"/>
          <w:color w:val="auto"/>
          <w:highlight w:val="none"/>
        </w:rPr>
        <w:t>（三）磋商报价说明</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_Toc243176608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49</w:t>
      </w:r>
      <w:r>
        <w:rPr>
          <w:rFonts w:hint="eastAsia"/>
          <w:color w:val="auto"/>
          <w:highlight w:val="none"/>
        </w:rPr>
        <w:fldChar w:fldCharType="end"/>
      </w:r>
      <w:r>
        <w:rPr>
          <w:rFonts w:hint="eastAsia"/>
          <w:color w:val="auto"/>
          <w:highlight w:val="none"/>
        </w:rPr>
        <w:fldChar w:fldCharType="end"/>
      </w:r>
    </w:p>
    <w:p w14:paraId="5F9B22AB">
      <w:pPr>
        <w:pStyle w:val="45"/>
        <w:tabs>
          <w:tab w:val="right" w:leader="dot" w:pos="9402"/>
        </w:tabs>
        <w:ind w:left="4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"_Toc243176609" </w:instrText>
      </w:r>
      <w:r>
        <w:rPr>
          <w:color w:val="auto"/>
          <w:highlight w:val="none"/>
        </w:rPr>
        <w:fldChar w:fldCharType="separate"/>
      </w:r>
      <w:r>
        <w:rPr>
          <w:rStyle w:val="61"/>
          <w:color w:val="auto"/>
          <w:highlight w:val="none"/>
        </w:rPr>
        <w:t>三、技术部分格式</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_Toc243176609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50</w:t>
      </w:r>
      <w:r>
        <w:rPr>
          <w:rFonts w:hint="eastAsia"/>
          <w:color w:val="auto"/>
          <w:highlight w:val="none"/>
        </w:rPr>
        <w:fldChar w:fldCharType="end"/>
      </w:r>
      <w:r>
        <w:rPr>
          <w:rFonts w:hint="eastAsia"/>
          <w:color w:val="auto"/>
          <w:highlight w:val="none"/>
        </w:rPr>
        <w:fldChar w:fldCharType="end"/>
      </w:r>
    </w:p>
    <w:p w14:paraId="5D8DF4ED">
      <w:pPr>
        <w:pStyle w:val="45"/>
        <w:tabs>
          <w:tab w:val="right" w:leader="dot" w:pos="9402"/>
        </w:tabs>
        <w:ind w:left="4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"_Toc243176610" </w:instrText>
      </w:r>
      <w:r>
        <w:rPr>
          <w:color w:val="auto"/>
          <w:highlight w:val="none"/>
        </w:rPr>
        <w:fldChar w:fldCharType="separate"/>
      </w:r>
      <w:r>
        <w:rPr>
          <w:rStyle w:val="61"/>
          <w:color w:val="auto"/>
          <w:highlight w:val="none"/>
        </w:rPr>
        <w:t>（一）专项法律服务方案及对项目的理解</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_Toc243176610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50</w:t>
      </w:r>
      <w:r>
        <w:rPr>
          <w:rFonts w:hint="eastAsia"/>
          <w:color w:val="auto"/>
          <w:highlight w:val="none"/>
        </w:rPr>
        <w:fldChar w:fldCharType="end"/>
      </w:r>
      <w:r>
        <w:rPr>
          <w:rFonts w:hint="eastAsia"/>
          <w:color w:val="auto"/>
          <w:highlight w:val="none"/>
        </w:rPr>
        <w:fldChar w:fldCharType="end"/>
      </w:r>
    </w:p>
    <w:p w14:paraId="29FA1D23">
      <w:pPr>
        <w:pStyle w:val="45"/>
        <w:tabs>
          <w:tab w:val="right" w:leader="dot" w:pos="9402"/>
        </w:tabs>
        <w:ind w:left="4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"_Toc243176611" </w:instrText>
      </w:r>
      <w:r>
        <w:rPr>
          <w:color w:val="auto"/>
          <w:highlight w:val="none"/>
        </w:rPr>
        <w:fldChar w:fldCharType="separate"/>
      </w:r>
      <w:r>
        <w:rPr>
          <w:rStyle w:val="61"/>
          <w:color w:val="auto"/>
          <w:highlight w:val="none"/>
        </w:rPr>
        <w:t>（二）分阶段工作实施进度计划及承诺</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_Toc243176611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50</w:t>
      </w:r>
      <w:r>
        <w:rPr>
          <w:rFonts w:hint="eastAsia"/>
          <w:color w:val="auto"/>
          <w:highlight w:val="none"/>
        </w:rPr>
        <w:fldChar w:fldCharType="end"/>
      </w:r>
      <w:r>
        <w:rPr>
          <w:rFonts w:hint="eastAsia"/>
          <w:color w:val="auto"/>
          <w:highlight w:val="none"/>
        </w:rPr>
        <w:fldChar w:fldCharType="end"/>
      </w:r>
    </w:p>
    <w:p w14:paraId="7B3C96E9">
      <w:pPr>
        <w:pStyle w:val="45"/>
        <w:tabs>
          <w:tab w:val="right" w:leader="dot" w:pos="9402"/>
        </w:tabs>
        <w:ind w:left="4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"_Toc243176612" </w:instrText>
      </w:r>
      <w:r>
        <w:rPr>
          <w:color w:val="auto"/>
          <w:highlight w:val="none"/>
        </w:rPr>
        <w:fldChar w:fldCharType="separate"/>
      </w:r>
      <w:r>
        <w:rPr>
          <w:rStyle w:val="61"/>
          <w:color w:val="auto"/>
          <w:highlight w:val="none"/>
        </w:rPr>
        <w:t>（三）质量保证措施及承诺</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_Toc243176612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50</w:t>
      </w:r>
      <w:r>
        <w:rPr>
          <w:rFonts w:hint="eastAsia"/>
          <w:color w:val="auto"/>
          <w:highlight w:val="none"/>
        </w:rPr>
        <w:fldChar w:fldCharType="end"/>
      </w:r>
      <w:r>
        <w:rPr>
          <w:rFonts w:hint="eastAsia"/>
          <w:color w:val="auto"/>
          <w:highlight w:val="none"/>
        </w:rPr>
        <w:fldChar w:fldCharType="end"/>
      </w:r>
    </w:p>
    <w:p w14:paraId="5E76689F">
      <w:pPr>
        <w:pStyle w:val="45"/>
        <w:tabs>
          <w:tab w:val="right" w:leader="dot" w:pos="9402"/>
        </w:tabs>
        <w:ind w:left="4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"_Toc243176613" </w:instrText>
      </w:r>
      <w:r>
        <w:rPr>
          <w:color w:val="auto"/>
          <w:highlight w:val="none"/>
        </w:rPr>
        <w:fldChar w:fldCharType="separate"/>
      </w:r>
      <w:r>
        <w:rPr>
          <w:rStyle w:val="61"/>
          <w:color w:val="auto"/>
          <w:highlight w:val="none"/>
        </w:rPr>
        <w:t>（四）后续服务工作安排及承诺</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_Toc243176613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50</w:t>
      </w:r>
      <w:r>
        <w:rPr>
          <w:rFonts w:hint="eastAsia"/>
          <w:color w:val="auto"/>
          <w:highlight w:val="none"/>
        </w:rPr>
        <w:fldChar w:fldCharType="end"/>
      </w:r>
      <w:r>
        <w:rPr>
          <w:rFonts w:hint="eastAsia"/>
          <w:color w:val="auto"/>
          <w:highlight w:val="none"/>
        </w:rPr>
        <w:fldChar w:fldCharType="end"/>
      </w:r>
    </w:p>
    <w:p w14:paraId="7F987EE3">
      <w:pPr>
        <w:pStyle w:val="45"/>
        <w:tabs>
          <w:tab w:val="right" w:leader="dot" w:pos="9402"/>
        </w:tabs>
        <w:ind w:left="4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"_Toc243176614" </w:instrText>
      </w:r>
      <w:r>
        <w:rPr>
          <w:color w:val="auto"/>
          <w:highlight w:val="none"/>
        </w:rPr>
        <w:fldChar w:fldCharType="separate"/>
      </w:r>
      <w:r>
        <w:rPr>
          <w:rStyle w:val="61"/>
          <w:color w:val="auto"/>
          <w:highlight w:val="none"/>
        </w:rPr>
        <w:t>（五）拟派项目组人员配置</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_Toc243176614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50</w:t>
      </w:r>
      <w:r>
        <w:rPr>
          <w:rFonts w:hint="eastAsia"/>
          <w:color w:val="auto"/>
          <w:highlight w:val="none"/>
        </w:rPr>
        <w:fldChar w:fldCharType="end"/>
      </w:r>
      <w:r>
        <w:rPr>
          <w:rFonts w:hint="eastAsia"/>
          <w:color w:val="auto"/>
          <w:highlight w:val="none"/>
        </w:rPr>
        <w:fldChar w:fldCharType="end"/>
      </w:r>
    </w:p>
    <w:p w14:paraId="1848D695">
      <w:pPr>
        <w:pStyle w:val="45"/>
        <w:tabs>
          <w:tab w:val="right" w:leader="dot" w:pos="9402"/>
        </w:tabs>
        <w:ind w:left="4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"_Toc243176615" </w:instrText>
      </w:r>
      <w:r>
        <w:rPr>
          <w:color w:val="auto"/>
          <w:highlight w:val="none"/>
        </w:rPr>
        <w:fldChar w:fldCharType="separate"/>
      </w:r>
      <w:r>
        <w:rPr>
          <w:rStyle w:val="61"/>
          <w:color w:val="auto"/>
          <w:highlight w:val="none"/>
        </w:rPr>
        <w:t>（六）项目风险预测与防范措施</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_Toc243176615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50</w:t>
      </w:r>
      <w:r>
        <w:rPr>
          <w:rFonts w:hint="eastAsia"/>
          <w:color w:val="auto"/>
          <w:highlight w:val="none"/>
        </w:rPr>
        <w:fldChar w:fldCharType="end"/>
      </w:r>
      <w:r>
        <w:rPr>
          <w:rFonts w:hint="eastAsia"/>
          <w:color w:val="auto"/>
          <w:highlight w:val="none"/>
        </w:rPr>
        <w:fldChar w:fldCharType="end"/>
      </w:r>
    </w:p>
    <w:p w14:paraId="3D5CDF61">
      <w:pPr>
        <w:pStyle w:val="45"/>
        <w:tabs>
          <w:tab w:val="right" w:leader="dot" w:pos="9402"/>
        </w:tabs>
        <w:ind w:left="400"/>
        <w:rPr>
          <w:rFonts w:hint="eastAsia" w:ascii="等线" w:hAnsi="等线" w:eastAsia="等线" w:cs="宋体"/>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"_Toc243176616" </w:instrText>
      </w:r>
      <w:r>
        <w:rPr>
          <w:color w:val="auto"/>
          <w:highlight w:val="none"/>
        </w:rPr>
        <w:fldChar w:fldCharType="separate"/>
      </w:r>
      <w:r>
        <w:rPr>
          <w:rStyle w:val="61"/>
          <w:color w:val="auto"/>
          <w:highlight w:val="none"/>
        </w:rPr>
        <w:t>（七）供应商认为有必要提供的其他资料</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_Toc243176616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50</w:t>
      </w:r>
      <w:r>
        <w:rPr>
          <w:rFonts w:hint="eastAsia"/>
          <w:color w:val="auto"/>
          <w:highlight w:val="none"/>
        </w:rPr>
        <w:fldChar w:fldCharType="end"/>
      </w:r>
      <w:r>
        <w:rPr>
          <w:rFonts w:hint="eastAsia"/>
          <w:color w:val="auto"/>
          <w:highlight w:val="none"/>
        </w:rPr>
        <w:fldChar w:fldCharType="end"/>
      </w:r>
    </w:p>
    <w:p w14:paraId="2EF2707E">
      <w:pPr>
        <w:rPr>
          <w:color w:val="auto"/>
          <w:sz w:val="24"/>
          <w:szCs w:val="24"/>
          <w:highlight w:val="none"/>
        </w:rPr>
      </w:pPr>
      <w:r>
        <w:rPr>
          <w:bCs/>
          <w:color w:val="auto"/>
          <w:sz w:val="24"/>
          <w:szCs w:val="24"/>
          <w:highlight w:val="none"/>
          <w:lang w:val="zh-CN"/>
        </w:rPr>
        <w:fldChar w:fldCharType="end"/>
      </w:r>
    </w:p>
    <w:p w14:paraId="25D26CF7">
      <w:pPr>
        <w:spacing w:line="600" w:lineRule="auto"/>
        <w:jc w:val="center"/>
        <w:rPr>
          <w:rFonts w:hint="eastAsia" w:ascii="宋体" w:hAnsi="宋体" w:cs="宋体"/>
          <w:color w:val="auto"/>
          <w:sz w:val="24"/>
          <w:szCs w:val="24"/>
          <w:highlight w:val="none"/>
        </w:rPr>
      </w:pPr>
      <w:r>
        <w:rPr>
          <w:rFonts w:ascii="宋体" w:hAnsi="宋体" w:cs="宋体"/>
          <w:color w:val="auto"/>
          <w:sz w:val="24"/>
          <w:szCs w:val="24"/>
          <w:highlight w:val="none"/>
        </w:rPr>
        <w:t xml:space="preserve"> </w:t>
      </w:r>
    </w:p>
    <w:p w14:paraId="14AAF562">
      <w:pPr>
        <w:pStyle w:val="2"/>
        <w:jc w:val="center"/>
        <w:rPr>
          <w:rFonts w:eastAsia="黑体"/>
          <w:color w:val="auto"/>
          <w:sz w:val="36"/>
          <w:szCs w:val="36"/>
          <w:highlight w:val="none"/>
        </w:rPr>
      </w:pPr>
      <w:r>
        <w:rPr>
          <w:rFonts w:eastAsia="黑体"/>
          <w:color w:val="auto"/>
          <w:sz w:val="36"/>
          <w:szCs w:val="36"/>
          <w:highlight w:val="none"/>
        </w:rPr>
        <w:br w:type="page"/>
      </w:r>
      <w:bookmarkStart w:id="2" w:name="_Toc243176577"/>
      <w:bookmarkStart w:id="3" w:name="_Toc240288644"/>
      <w:bookmarkStart w:id="4" w:name="_Toc57900423"/>
      <w:r>
        <w:rPr>
          <w:rFonts w:hint="eastAsia" w:eastAsia="黑体"/>
          <w:color w:val="auto"/>
          <w:sz w:val="36"/>
          <w:szCs w:val="36"/>
          <w:highlight w:val="none"/>
        </w:rPr>
        <w:t>第一章 竞争性磋商公告</w:t>
      </w:r>
      <w:bookmarkEnd w:id="0"/>
      <w:bookmarkEnd w:id="2"/>
      <w:bookmarkEnd w:id="3"/>
      <w:bookmarkEnd w:id="4"/>
    </w:p>
    <w:p w14:paraId="7D94662C">
      <w:pPr>
        <w:spacing w:line="432" w:lineRule="auto"/>
        <w:jc w:val="center"/>
        <w:rPr>
          <w:rFonts w:hint="eastAsia" w:ascii="宋体" w:hAnsi="宋体" w:cs="宋体"/>
          <w:b/>
          <w:bCs/>
          <w:color w:val="auto"/>
          <w:sz w:val="32"/>
          <w:szCs w:val="32"/>
          <w:highlight w:val="none"/>
        </w:rPr>
      </w:pPr>
      <w:r>
        <w:rPr>
          <w:rFonts w:hint="eastAsia"/>
          <w:b/>
          <w:bCs/>
          <w:color w:val="auto"/>
          <w:sz w:val="32"/>
          <w:szCs w:val="32"/>
          <w:highlight w:val="none"/>
          <w:lang w:eastAsia="zh-CN"/>
        </w:rPr>
        <w:t>云南民族村整体改造及运营提升专项法律服务项目</w:t>
      </w:r>
      <w:r>
        <w:rPr>
          <w:b/>
          <w:bCs/>
          <w:color w:val="auto"/>
          <w:sz w:val="32"/>
          <w:szCs w:val="32"/>
          <w:highlight w:val="none"/>
        </w:rPr>
        <w:t>竞争性磋商公告</w:t>
      </w:r>
    </w:p>
    <w:bookmarkEnd w:id="1"/>
    <w:p w14:paraId="4120A151">
      <w:pPr>
        <w:spacing w:line="360" w:lineRule="auto"/>
        <w:ind w:firstLine="420" w:firstLineChars="200"/>
        <w:jc w:val="right"/>
        <w:rPr>
          <w:rFonts w:hint="eastAsia"/>
          <w:color w:val="auto"/>
          <w:sz w:val="21"/>
          <w:szCs w:val="21"/>
          <w:highlight w:val="none"/>
        </w:rPr>
      </w:pPr>
      <w:r>
        <w:rPr>
          <w:color w:val="auto"/>
          <w:sz w:val="21"/>
          <w:szCs w:val="21"/>
          <w:highlight w:val="none"/>
        </w:rPr>
        <w:t>项目编号：</w:t>
      </w:r>
      <w:r>
        <w:rPr>
          <w:rFonts w:hint="eastAsia"/>
          <w:color w:val="auto"/>
          <w:sz w:val="21"/>
          <w:szCs w:val="21"/>
          <w:highlight w:val="none"/>
        </w:rPr>
        <w:t>KCFW-2026-11764</w:t>
      </w:r>
    </w:p>
    <w:p w14:paraId="1BD979AB">
      <w:pPr>
        <w:spacing w:line="432" w:lineRule="auto"/>
        <w:rPr>
          <w:rFonts w:eastAsia="黑体"/>
          <w:color w:val="auto"/>
          <w:sz w:val="24"/>
          <w:szCs w:val="24"/>
          <w:highlight w:val="none"/>
        </w:rPr>
      </w:pPr>
      <w:r>
        <w:rPr>
          <w:rFonts w:hint="eastAsia" w:eastAsia="黑体"/>
          <w:color w:val="auto"/>
          <w:sz w:val="24"/>
          <w:szCs w:val="24"/>
          <w:highlight w:val="none"/>
        </w:rPr>
        <w:t>1.竞争性磋商条件</w:t>
      </w:r>
    </w:p>
    <w:p w14:paraId="011D556A">
      <w:pPr>
        <w:spacing w:line="360" w:lineRule="auto"/>
        <w:ind w:firstLine="420" w:firstLineChars="200"/>
        <w:rPr>
          <w:rFonts w:hint="eastAsia"/>
          <w:color w:val="auto"/>
          <w:sz w:val="21"/>
          <w:szCs w:val="21"/>
          <w:highlight w:val="none"/>
        </w:rPr>
      </w:pPr>
      <w:r>
        <w:rPr>
          <w:color w:val="auto"/>
          <w:sz w:val="21"/>
          <w:szCs w:val="21"/>
          <w:highlight w:val="none"/>
        </w:rPr>
        <w:t>本项目资金已落实，发包人为云南民族村有限责任公司，代理机构为昆明晨晟招标有限责任公司。本项目不属于《必须招标的工程项目规定》（国家发展改革委令第16号）规定的依法必须进行招标的项目，亦不属于政府采购项目。现由发包人按照企业内控、财务管理制度，以竞争性磋商的方式选择本项目的专项法律服务机构。</w:t>
      </w:r>
    </w:p>
    <w:p w14:paraId="5D627123">
      <w:pPr>
        <w:spacing w:line="432" w:lineRule="auto"/>
        <w:rPr>
          <w:rFonts w:eastAsia="黑体"/>
          <w:color w:val="auto"/>
          <w:sz w:val="24"/>
          <w:szCs w:val="24"/>
          <w:highlight w:val="none"/>
        </w:rPr>
      </w:pPr>
      <w:r>
        <w:rPr>
          <w:rFonts w:hint="eastAsia" w:eastAsia="黑体"/>
          <w:color w:val="auto"/>
          <w:sz w:val="24"/>
          <w:szCs w:val="24"/>
          <w:highlight w:val="none"/>
        </w:rPr>
        <w:t>2.</w:t>
      </w:r>
      <w:r>
        <w:rPr>
          <w:rFonts w:hint="eastAsia"/>
          <w:color w:val="auto"/>
          <w:highlight w:val="none"/>
        </w:rPr>
        <w:t xml:space="preserve"> </w:t>
      </w:r>
      <w:r>
        <w:rPr>
          <w:rFonts w:hint="eastAsia" w:eastAsia="黑体"/>
          <w:color w:val="auto"/>
          <w:sz w:val="24"/>
          <w:szCs w:val="24"/>
          <w:highlight w:val="none"/>
        </w:rPr>
        <w:t>磋商范围</w:t>
      </w:r>
    </w:p>
    <w:p w14:paraId="249B3D4F">
      <w:pPr>
        <w:spacing w:line="360" w:lineRule="auto"/>
        <w:ind w:firstLine="420" w:firstLineChars="200"/>
        <w:rPr>
          <w:rFonts w:hint="eastAsia" w:ascii="宋体" w:hAnsi="宋体"/>
          <w:color w:val="auto"/>
          <w:sz w:val="21"/>
          <w:szCs w:val="21"/>
          <w:highlight w:val="none"/>
        </w:rPr>
      </w:pPr>
      <w:r>
        <w:rPr>
          <w:color w:val="auto"/>
          <w:sz w:val="21"/>
          <w:szCs w:val="21"/>
          <w:highlight w:val="none"/>
        </w:rPr>
        <w:t>2.1磋商范围：完成</w:t>
      </w:r>
      <w:r>
        <w:rPr>
          <w:rFonts w:hint="eastAsia"/>
          <w:color w:val="auto"/>
          <w:sz w:val="21"/>
          <w:szCs w:val="21"/>
          <w:highlight w:val="none"/>
          <w:lang w:eastAsia="zh-CN"/>
        </w:rPr>
        <w:t>云南民族村整体改造及运营提升专项法律服务项目</w:t>
      </w:r>
      <w:r>
        <w:rPr>
          <w:color w:val="auto"/>
          <w:sz w:val="21"/>
          <w:szCs w:val="21"/>
          <w:highlight w:val="none"/>
        </w:rPr>
        <w:t>包含的所有工作内容。本项目法律服务按专项模块划分，各模块均包含服务内容、重点注意、成果文件三个层面，具体服务范围及服务内容详见第五章“服务要求”。服务范围主要包括：合作模式与交易结构论证、尽职调查与资产梳理、国有资产与程序合规、合同体系设计与谈判、人员安置与劳动用工合规、资产权属与土地改造合规、财务资金与履约保障、知识产权与无形资产保护、数据资产与信息化合规、安全生产与运营合规、现有景区内合作方调整、退出机制与争议解决等十二个专项模块</w:t>
      </w:r>
      <w:r>
        <w:rPr>
          <w:rFonts w:hint="eastAsia"/>
          <w:color w:val="auto"/>
          <w:sz w:val="21"/>
          <w:szCs w:val="21"/>
          <w:highlight w:val="none"/>
        </w:rPr>
        <w:t>，具体内容详见</w:t>
      </w:r>
      <w:r>
        <w:rPr>
          <w:color w:val="auto"/>
          <w:sz w:val="21"/>
          <w:szCs w:val="21"/>
          <w:highlight w:val="none"/>
        </w:rPr>
        <w:t>第五章  服务要求。</w:t>
      </w:r>
    </w:p>
    <w:p w14:paraId="728BCCB9">
      <w:pPr>
        <w:widowControl w:val="0"/>
        <w:snapToGrid w:val="0"/>
        <w:spacing w:line="432" w:lineRule="auto"/>
        <w:ind w:firstLine="424" w:firstLineChars="202"/>
        <w:jc w:val="both"/>
        <w:rPr>
          <w:rFonts w:hint="eastAsia" w:ascii="宋体" w:hAnsi="宋体"/>
          <w:color w:val="auto"/>
          <w:kern w:val="2"/>
          <w:sz w:val="21"/>
          <w:szCs w:val="21"/>
          <w:highlight w:val="none"/>
        </w:rPr>
      </w:pPr>
      <w:r>
        <w:rPr>
          <w:rFonts w:ascii="宋体" w:hAnsi="宋体"/>
          <w:color w:val="auto"/>
          <w:sz w:val="21"/>
          <w:szCs w:val="21"/>
          <w:highlight w:val="none"/>
        </w:rPr>
        <w:t>2.2项目地点：昆明市西山区滇池路1310号（云南民族村）</w:t>
      </w:r>
    </w:p>
    <w:p w14:paraId="7839CAEB">
      <w:pPr>
        <w:widowControl w:val="0"/>
        <w:snapToGrid w:val="0"/>
        <w:spacing w:line="432" w:lineRule="auto"/>
        <w:ind w:firstLine="424" w:firstLineChars="202"/>
        <w:jc w:val="both"/>
        <w:rPr>
          <w:rFonts w:hint="eastAsia" w:ascii="宋体" w:hAnsi="宋体"/>
          <w:color w:val="auto"/>
          <w:kern w:val="2"/>
          <w:sz w:val="21"/>
          <w:szCs w:val="21"/>
          <w:highlight w:val="none"/>
        </w:rPr>
      </w:pPr>
      <w:r>
        <w:rPr>
          <w:color w:val="auto"/>
          <w:sz w:val="21"/>
          <w:szCs w:val="21"/>
          <w:highlight w:val="none"/>
        </w:rPr>
        <w:t>2.3服务期限：本项目整体服务期限</w:t>
      </w:r>
      <w:r>
        <w:rPr>
          <w:rFonts w:hint="eastAsia"/>
          <w:color w:val="auto"/>
          <w:sz w:val="21"/>
          <w:szCs w:val="21"/>
          <w:highlight w:val="none"/>
        </w:rPr>
        <w:t>约为</w:t>
      </w:r>
      <w:r>
        <w:rPr>
          <w:color w:val="auto"/>
          <w:sz w:val="21"/>
          <w:szCs w:val="21"/>
          <w:highlight w:val="none"/>
        </w:rPr>
        <w:t>2年，自委托合同生效之日起算，按“招标前—招标中—签约+移交—建设+验收—试运营”五个阶段推进。各阶段具体工作内容、阶段成果及时间安排详见第五章“服务要求”。</w:t>
      </w:r>
    </w:p>
    <w:p w14:paraId="5C2A80FF">
      <w:pPr>
        <w:widowControl w:val="0"/>
        <w:snapToGrid w:val="0"/>
        <w:spacing w:line="432" w:lineRule="auto"/>
        <w:ind w:firstLine="424" w:firstLineChars="202"/>
        <w:jc w:val="both"/>
        <w:rPr>
          <w:rFonts w:hint="eastAsia" w:ascii="宋体" w:hAnsi="宋体"/>
          <w:color w:val="auto"/>
          <w:kern w:val="2"/>
          <w:sz w:val="21"/>
          <w:szCs w:val="21"/>
          <w:highlight w:val="none"/>
        </w:rPr>
      </w:pPr>
      <w:r>
        <w:rPr>
          <w:color w:val="auto"/>
          <w:sz w:val="21"/>
          <w:szCs w:val="21"/>
          <w:highlight w:val="none"/>
        </w:rPr>
        <w:t>2.4质量要求：法律服务成果符合国家、地方及行业现行相关法律法规和规范，成果文件内容完整、真实准确、清晰有据，按时提交各阶段成果并配合汇报、修改，满足发包人决策需要。</w:t>
      </w:r>
    </w:p>
    <w:p w14:paraId="65A39891">
      <w:pPr>
        <w:widowControl w:val="0"/>
        <w:snapToGrid w:val="0"/>
        <w:spacing w:line="432" w:lineRule="auto"/>
        <w:ind w:firstLine="424" w:firstLineChars="202"/>
        <w:jc w:val="both"/>
        <w:rPr>
          <w:rFonts w:hint="eastAsia" w:ascii="宋体" w:hAnsi="宋体"/>
          <w:color w:val="auto"/>
          <w:sz w:val="21"/>
          <w:szCs w:val="21"/>
          <w:highlight w:val="none"/>
        </w:rPr>
      </w:pPr>
      <w:r>
        <w:rPr>
          <w:color w:val="auto"/>
          <w:sz w:val="21"/>
          <w:szCs w:val="21"/>
          <w:highlight w:val="none"/>
        </w:rPr>
        <w:t>2.5合同估算价（上限价）：37.33万元。供应商报价不得超过37.33万元，否则作否决处理。</w:t>
      </w:r>
    </w:p>
    <w:p w14:paraId="5020DC06">
      <w:pPr>
        <w:widowControl w:val="0"/>
        <w:snapToGrid w:val="0"/>
        <w:spacing w:line="432" w:lineRule="auto"/>
        <w:ind w:firstLine="424" w:firstLineChars="202"/>
        <w:jc w:val="both"/>
        <w:rPr>
          <w:rFonts w:hint="eastAsia" w:ascii="宋体" w:hAnsi="宋体"/>
          <w:color w:val="auto"/>
          <w:sz w:val="21"/>
          <w:szCs w:val="21"/>
          <w:highlight w:val="none"/>
        </w:rPr>
      </w:pPr>
      <w:r>
        <w:rPr>
          <w:rFonts w:hint="eastAsia" w:ascii="宋体" w:hAnsi="宋体"/>
          <w:color w:val="auto"/>
          <w:sz w:val="21"/>
          <w:szCs w:val="21"/>
          <w:highlight w:val="none"/>
        </w:rPr>
        <w:t>2.6标包划分：本项目不划分标包。</w:t>
      </w:r>
    </w:p>
    <w:p w14:paraId="17A5BADB">
      <w:pPr>
        <w:spacing w:line="432" w:lineRule="auto"/>
        <w:rPr>
          <w:rFonts w:eastAsia="黑体"/>
          <w:color w:val="auto"/>
          <w:sz w:val="24"/>
          <w:szCs w:val="24"/>
          <w:highlight w:val="none"/>
        </w:rPr>
      </w:pPr>
      <w:r>
        <w:rPr>
          <w:rFonts w:hint="eastAsia" w:eastAsia="黑体"/>
          <w:color w:val="auto"/>
          <w:sz w:val="24"/>
          <w:szCs w:val="24"/>
          <w:highlight w:val="none"/>
        </w:rPr>
        <w:t>3.供应商资格要求</w:t>
      </w:r>
    </w:p>
    <w:p w14:paraId="4BFE33E2">
      <w:pPr>
        <w:widowControl w:val="0"/>
        <w:snapToGrid w:val="0"/>
        <w:spacing w:line="432" w:lineRule="auto"/>
        <w:ind w:firstLine="424" w:firstLineChars="202"/>
        <w:jc w:val="both"/>
        <w:rPr>
          <w:rFonts w:hint="eastAsia"/>
          <w:color w:val="auto"/>
          <w:sz w:val="21"/>
          <w:szCs w:val="21"/>
          <w:highlight w:val="none"/>
        </w:rPr>
      </w:pPr>
      <w:r>
        <w:rPr>
          <w:color w:val="auto"/>
          <w:sz w:val="21"/>
          <w:szCs w:val="21"/>
          <w:highlight w:val="none"/>
        </w:rPr>
        <w:t>3.1具有独立承担民事责任的能力，具备相关部门登记核发的律师事务所执业许可证（或分所执业许可证），具有有效的律师事务所执业许可证或其他法定凭证。</w:t>
      </w:r>
    </w:p>
    <w:p w14:paraId="72193426">
      <w:pPr>
        <w:widowControl w:val="0"/>
        <w:snapToGrid w:val="0"/>
        <w:spacing w:line="432" w:lineRule="auto"/>
        <w:ind w:firstLine="424" w:firstLineChars="202"/>
        <w:jc w:val="both"/>
        <w:rPr>
          <w:rFonts w:hint="eastAsia" w:ascii="宋体" w:hAnsi="宋体"/>
          <w:color w:val="auto"/>
          <w:sz w:val="21"/>
          <w:szCs w:val="22"/>
          <w:highlight w:val="none"/>
        </w:rPr>
      </w:pPr>
      <w:r>
        <w:rPr>
          <w:rFonts w:hint="eastAsia"/>
          <w:color w:val="auto"/>
          <w:sz w:val="21"/>
          <w:szCs w:val="21"/>
          <w:highlight w:val="none"/>
        </w:rPr>
        <w:t>3.2具有健全的财务会计制度，须提供2024年度或2025年度经第三方机构审计的审计报告或财务报表【包括但不限于：</w:t>
      </w:r>
      <w:r>
        <w:rPr>
          <w:rFonts w:hint="eastAsia" w:ascii="宋体" w:hAnsi="宋体"/>
          <w:color w:val="auto"/>
          <w:sz w:val="21"/>
          <w:szCs w:val="22"/>
          <w:highlight w:val="none"/>
        </w:rPr>
        <w:t>资产负债表、现金流量表、利润表（或损益表，下同）】或其基本开户银行2025年度出具的资信证明或担保机构针对本项目出具的担保函或供应商企业自身编制的符合现行会计制度下的2024年度或2025年度财务报表或提供承诺函】。</w:t>
      </w:r>
    </w:p>
    <w:p w14:paraId="4BF287D8">
      <w:pPr>
        <w:widowControl w:val="0"/>
        <w:snapToGrid w:val="0"/>
        <w:spacing w:line="432" w:lineRule="auto"/>
        <w:ind w:firstLine="424" w:firstLineChars="202"/>
        <w:jc w:val="both"/>
        <w:rPr>
          <w:rFonts w:hint="eastAsia" w:ascii="宋体" w:hAnsi="宋体"/>
          <w:color w:val="auto"/>
          <w:sz w:val="21"/>
          <w:szCs w:val="22"/>
          <w:highlight w:val="none"/>
        </w:rPr>
      </w:pPr>
      <w:r>
        <w:rPr>
          <w:rFonts w:hint="eastAsia" w:ascii="宋体" w:hAnsi="宋体"/>
          <w:color w:val="auto"/>
          <w:sz w:val="21"/>
          <w:szCs w:val="22"/>
          <w:highlight w:val="none"/>
        </w:rPr>
        <w:t>3.3拟派项目负责人1人，须为执业律师，具有有效的律师执业证书，提供身份证及律师执业证书扫描件。</w:t>
      </w:r>
    </w:p>
    <w:p w14:paraId="325254FE">
      <w:pPr>
        <w:widowControl w:val="0"/>
        <w:snapToGrid w:val="0"/>
        <w:spacing w:line="432" w:lineRule="auto"/>
        <w:ind w:firstLine="424" w:firstLineChars="202"/>
        <w:jc w:val="both"/>
        <w:rPr>
          <w:rFonts w:hint="eastAsia" w:ascii="宋体" w:hAnsi="宋体"/>
          <w:color w:val="auto"/>
          <w:sz w:val="21"/>
          <w:szCs w:val="22"/>
          <w:highlight w:val="none"/>
        </w:rPr>
      </w:pPr>
      <w:r>
        <w:rPr>
          <w:rFonts w:hint="eastAsia" w:ascii="宋体" w:hAnsi="宋体"/>
          <w:color w:val="auto"/>
          <w:sz w:val="21"/>
          <w:szCs w:val="22"/>
          <w:highlight w:val="none"/>
        </w:rPr>
        <w:t>3.4有依法缴纳税收和社会保障资金的良好记录，提供2025年1月份至今任意1个月的缴纳税收及社会保障资金的相关证明或提供承诺函。</w:t>
      </w:r>
    </w:p>
    <w:p w14:paraId="1B9360DA">
      <w:pPr>
        <w:widowControl w:val="0"/>
        <w:snapToGrid w:val="0"/>
        <w:spacing w:line="432" w:lineRule="auto"/>
        <w:ind w:firstLine="424" w:firstLineChars="202"/>
        <w:jc w:val="both"/>
        <w:rPr>
          <w:rFonts w:hint="eastAsia" w:ascii="宋体" w:hAnsi="宋体"/>
          <w:color w:val="auto"/>
          <w:sz w:val="21"/>
          <w:szCs w:val="22"/>
          <w:highlight w:val="none"/>
        </w:rPr>
      </w:pPr>
      <w:r>
        <w:rPr>
          <w:rFonts w:hint="eastAsia" w:ascii="宋体" w:hAnsi="宋体"/>
          <w:color w:val="auto"/>
          <w:sz w:val="21"/>
          <w:szCs w:val="22"/>
          <w:highlight w:val="none"/>
        </w:rPr>
        <w:t>3.5信誉要求：未处于被责令停业、投标资格被暂停或取消、财产被接管、冻结、破产等状态；近三年（2023年1月至今）无骗取中标和严重违约、无被项目所在地政府或国家部委禁止市场准入等情形，当前未因不良记录被建设行政主管部门禁止投标资格；供应商在“信用中国”网站(www.creditchina.gov.cn)无 “失信被执行人”的记录。供应商存在以上不良信用记录的，否决其磋商资格。</w:t>
      </w:r>
    </w:p>
    <w:p w14:paraId="7FF75718">
      <w:pPr>
        <w:spacing w:line="360" w:lineRule="auto"/>
        <w:ind w:firstLine="420" w:firstLineChars="200"/>
        <w:rPr>
          <w:rFonts w:hint="eastAsia" w:ascii="宋体" w:hAnsi="宋体"/>
          <w:color w:val="auto"/>
          <w:sz w:val="21"/>
          <w:szCs w:val="21"/>
          <w:highlight w:val="none"/>
        </w:rPr>
      </w:pPr>
      <w:r>
        <w:rPr>
          <w:rFonts w:hint="eastAsia" w:ascii="宋体" w:hAnsi="宋体"/>
          <w:color w:val="auto"/>
          <w:sz w:val="21"/>
          <w:szCs w:val="21"/>
          <w:highlight w:val="none"/>
        </w:rPr>
        <w:t>3.6供应商不得存在以下情形：单位负责人为同一人或者存在直接控股、管理关系的不同供应商，不得参加同一合同项下的招标活动。</w:t>
      </w:r>
    </w:p>
    <w:p w14:paraId="4ED533FF">
      <w:pPr>
        <w:widowControl w:val="0"/>
        <w:snapToGrid w:val="0"/>
        <w:spacing w:line="432" w:lineRule="auto"/>
        <w:ind w:firstLine="404" w:firstLineChars="202"/>
        <w:jc w:val="both"/>
        <w:rPr>
          <w:rFonts w:hint="eastAsia" w:ascii="宋体" w:hAnsi="宋体"/>
          <w:color w:val="auto"/>
          <w:sz w:val="21"/>
          <w:szCs w:val="22"/>
          <w:highlight w:val="none"/>
        </w:rPr>
      </w:pPr>
      <w:r>
        <w:rPr>
          <w:color w:val="auto"/>
          <w:highlight w:val="none"/>
        </w:rPr>
        <w:t>3.7本项目不接受联合体磋商。</w:t>
      </w:r>
    </w:p>
    <w:p w14:paraId="64389646">
      <w:pPr>
        <w:spacing w:line="432" w:lineRule="auto"/>
        <w:rPr>
          <w:rFonts w:eastAsia="黑体"/>
          <w:color w:val="auto"/>
          <w:sz w:val="24"/>
          <w:szCs w:val="24"/>
          <w:highlight w:val="none"/>
        </w:rPr>
      </w:pPr>
      <w:r>
        <w:rPr>
          <w:rFonts w:hint="eastAsia" w:eastAsia="黑体"/>
          <w:color w:val="auto"/>
          <w:sz w:val="24"/>
          <w:szCs w:val="24"/>
          <w:highlight w:val="none"/>
        </w:rPr>
        <w:t>4. 竞争性磋商文件的获取</w:t>
      </w:r>
    </w:p>
    <w:p w14:paraId="69E9F70F">
      <w:pPr>
        <w:spacing w:line="432" w:lineRule="auto"/>
        <w:ind w:firstLine="420" w:firstLineChars="200"/>
        <w:rPr>
          <w:rFonts w:hint="eastAsia" w:ascii="宋体" w:hAnsi="宋体"/>
          <w:bCs/>
          <w:color w:val="auto"/>
          <w:kern w:val="2"/>
          <w:sz w:val="21"/>
          <w:szCs w:val="21"/>
          <w:highlight w:val="none"/>
        </w:rPr>
      </w:pPr>
      <w:r>
        <w:rPr>
          <w:rFonts w:ascii="宋体" w:hAnsi="宋体"/>
          <w:color w:val="auto"/>
          <w:sz w:val="21"/>
          <w:szCs w:val="21"/>
          <w:highlight w:val="none"/>
        </w:rPr>
        <w:t>4.1凡有意参加磋商者，请于2026年10月</w:t>
      </w:r>
      <w:r>
        <w:rPr>
          <w:rFonts w:hint="eastAsia" w:ascii="宋体" w:hAnsi="宋体"/>
          <w:color w:val="auto"/>
          <w:sz w:val="21"/>
          <w:szCs w:val="21"/>
          <w:highlight w:val="none"/>
        </w:rPr>
        <w:t>20</w:t>
      </w:r>
      <w:r>
        <w:rPr>
          <w:rFonts w:ascii="宋体" w:hAnsi="宋体"/>
          <w:color w:val="auto"/>
          <w:sz w:val="21"/>
          <w:szCs w:val="21"/>
          <w:highlight w:val="none"/>
        </w:rPr>
        <w:t>日</w:t>
      </w:r>
      <w:r>
        <w:rPr>
          <w:rFonts w:hint="eastAsia" w:ascii="宋体" w:hAnsi="宋体"/>
          <w:color w:val="auto"/>
          <w:sz w:val="21"/>
          <w:szCs w:val="21"/>
          <w:highlight w:val="none"/>
        </w:rPr>
        <w:t>09</w:t>
      </w:r>
      <w:r>
        <w:rPr>
          <w:rFonts w:ascii="宋体" w:hAnsi="宋体"/>
          <w:color w:val="auto"/>
          <w:sz w:val="21"/>
          <w:szCs w:val="21"/>
          <w:highlight w:val="none"/>
        </w:rPr>
        <w:t>时</w:t>
      </w:r>
      <w:r>
        <w:rPr>
          <w:rFonts w:hint="eastAsia" w:ascii="宋体" w:hAnsi="宋体"/>
          <w:color w:val="auto"/>
          <w:sz w:val="21"/>
          <w:szCs w:val="21"/>
          <w:highlight w:val="none"/>
        </w:rPr>
        <w:t>00</w:t>
      </w:r>
      <w:r>
        <w:rPr>
          <w:rFonts w:ascii="宋体" w:hAnsi="宋体"/>
          <w:color w:val="auto"/>
          <w:sz w:val="21"/>
          <w:szCs w:val="21"/>
          <w:highlight w:val="none"/>
        </w:rPr>
        <w:t>分至2026年10月</w:t>
      </w:r>
      <w:r>
        <w:rPr>
          <w:rFonts w:hint="eastAsia" w:ascii="宋体" w:hAnsi="宋体"/>
          <w:color w:val="auto"/>
          <w:sz w:val="21"/>
          <w:szCs w:val="21"/>
          <w:highlight w:val="none"/>
        </w:rPr>
        <w:t>27</w:t>
      </w:r>
      <w:r>
        <w:rPr>
          <w:rFonts w:ascii="宋体" w:hAnsi="宋体"/>
          <w:color w:val="auto"/>
          <w:sz w:val="21"/>
          <w:szCs w:val="21"/>
          <w:highlight w:val="none"/>
        </w:rPr>
        <w:t>日</w:t>
      </w:r>
      <w:r>
        <w:rPr>
          <w:rFonts w:hint="eastAsia" w:ascii="宋体" w:hAnsi="宋体"/>
          <w:color w:val="auto"/>
          <w:sz w:val="21"/>
          <w:szCs w:val="21"/>
          <w:highlight w:val="none"/>
        </w:rPr>
        <w:t>17</w:t>
      </w:r>
      <w:r>
        <w:rPr>
          <w:rFonts w:ascii="宋体" w:hAnsi="宋体"/>
          <w:color w:val="auto"/>
          <w:sz w:val="21"/>
          <w:szCs w:val="21"/>
          <w:highlight w:val="none"/>
        </w:rPr>
        <w:t>时</w:t>
      </w:r>
      <w:r>
        <w:rPr>
          <w:rFonts w:hint="eastAsia" w:ascii="宋体" w:hAnsi="宋体"/>
          <w:color w:val="auto"/>
          <w:sz w:val="21"/>
          <w:szCs w:val="21"/>
          <w:highlight w:val="none"/>
        </w:rPr>
        <w:t>00</w:t>
      </w:r>
      <w:r>
        <w:rPr>
          <w:rFonts w:ascii="宋体" w:hAnsi="宋体"/>
          <w:color w:val="auto"/>
          <w:sz w:val="21"/>
          <w:szCs w:val="21"/>
          <w:highlight w:val="none"/>
        </w:rPr>
        <w:t>分（法定公休日，法定节假日除外），登录阳光臻达电子招投标交易平台（网址：https://dzztb.ygzdztb.com/)，凭注册的账号或者是企业数字证书（CA）在网上获取电子竞争性磋商文件及其他招标资料；未办理企业数字证书（CA）的企业需要按照云南省公共资源交易电子认证的要求，办理企业数字证书（CA），并在云南省公共资源交易网完成注册通过。数字证书（CA）办理流程详见云南省工程建设交易系统网站的相关要求，并在阳光臻达公共服务平台完成信息注册，绑定CA并审核通过后，才可以登录获取电子竞争性磋商文件，此为获取电子竞争性磋商文件的唯一途径。</w:t>
      </w:r>
    </w:p>
    <w:p w14:paraId="4FB7EF69">
      <w:pPr>
        <w:spacing w:line="432" w:lineRule="auto"/>
        <w:ind w:firstLine="420" w:firstLineChars="200"/>
        <w:rPr>
          <w:color w:val="auto"/>
          <w:sz w:val="21"/>
          <w:szCs w:val="21"/>
          <w:highlight w:val="none"/>
        </w:rPr>
      </w:pPr>
      <w:r>
        <w:rPr>
          <w:rFonts w:hint="eastAsia"/>
          <w:color w:val="auto"/>
          <w:sz w:val="21"/>
          <w:szCs w:val="21"/>
          <w:highlight w:val="none"/>
        </w:rPr>
        <w:t>4.2竞争性磋商文件每套售价300元，平台使用费200元，售后不退。</w:t>
      </w:r>
    </w:p>
    <w:p w14:paraId="5E687DBD">
      <w:pPr>
        <w:spacing w:line="432" w:lineRule="auto"/>
        <w:ind w:firstLine="420" w:firstLineChars="200"/>
        <w:rPr>
          <w:rFonts w:hint="eastAsia" w:ascii="宋体" w:hAnsi="宋体"/>
          <w:bCs/>
          <w:color w:val="auto"/>
          <w:kern w:val="2"/>
          <w:sz w:val="21"/>
          <w:szCs w:val="21"/>
          <w:highlight w:val="none"/>
        </w:rPr>
      </w:pPr>
      <w:r>
        <w:rPr>
          <w:rFonts w:hint="eastAsia"/>
          <w:color w:val="auto"/>
          <w:sz w:val="21"/>
          <w:szCs w:val="21"/>
          <w:highlight w:val="none"/>
        </w:rPr>
        <w:t>4.3</w:t>
      </w:r>
      <w:r>
        <w:rPr>
          <w:rFonts w:hint="eastAsia" w:ascii="宋体" w:hAnsi="宋体"/>
          <w:bCs/>
          <w:color w:val="auto"/>
          <w:kern w:val="2"/>
          <w:sz w:val="21"/>
          <w:szCs w:val="21"/>
          <w:highlight w:val="none"/>
        </w:rPr>
        <w:t>其他补充事宜：</w:t>
      </w:r>
    </w:p>
    <w:p w14:paraId="69AC9965">
      <w:pPr>
        <w:spacing w:line="432" w:lineRule="auto"/>
        <w:ind w:firstLine="420" w:firstLineChars="200"/>
        <w:rPr>
          <w:rFonts w:hint="eastAsia" w:ascii="宋体" w:hAnsi="宋体"/>
          <w:bCs/>
          <w:color w:val="auto"/>
          <w:kern w:val="2"/>
          <w:sz w:val="21"/>
          <w:szCs w:val="21"/>
          <w:highlight w:val="none"/>
        </w:rPr>
      </w:pPr>
      <w:r>
        <w:rPr>
          <w:rFonts w:hint="eastAsia" w:ascii="宋体" w:hAnsi="宋体"/>
          <w:bCs/>
          <w:color w:val="auto"/>
          <w:kern w:val="2"/>
          <w:sz w:val="21"/>
          <w:szCs w:val="21"/>
          <w:highlight w:val="none"/>
        </w:rPr>
        <w:t>（1）本项目获取电子竞争性磋商文件及其他资料须在阳光臻达电子招投标交易平台（网址：https://dzztb.ygzdztb.com）进行操作完成，不接受有意参加的潜在供应商现场获取招标文件及其他资料。</w:t>
      </w:r>
    </w:p>
    <w:p w14:paraId="1D859A73">
      <w:pPr>
        <w:spacing w:line="432" w:lineRule="auto"/>
        <w:ind w:firstLine="420" w:firstLineChars="200"/>
        <w:rPr>
          <w:rFonts w:hint="eastAsia" w:ascii="宋体" w:hAnsi="宋体"/>
          <w:bCs/>
          <w:color w:val="auto"/>
          <w:kern w:val="2"/>
          <w:sz w:val="21"/>
          <w:szCs w:val="21"/>
          <w:highlight w:val="none"/>
        </w:rPr>
      </w:pPr>
      <w:r>
        <w:rPr>
          <w:rFonts w:hint="eastAsia" w:ascii="宋体" w:hAnsi="宋体"/>
          <w:bCs/>
          <w:color w:val="auto"/>
          <w:kern w:val="2"/>
          <w:sz w:val="21"/>
          <w:szCs w:val="21"/>
          <w:highlight w:val="none"/>
        </w:rPr>
        <w:t>（2）凡有意参加本项目的潜在供应商，未在阳光臻达电子招投标交易平台（网址：https://dzztb.ygzdztb.com）注册的用户，须先在阳光臻达电子招投标交易平台完成注册通过并成功拥有企业账号后，方可登录阳光臻达电子招投标交易平台获取电子招标文件及其他资料，此为获取招标文件的唯一途径。阳光臻达电子招投标交易平台已提供线上注册企业账号的业务（操作流程：投标人进入阳光臻达电子招投标交易平台网站→选择“投标方入口”→点“立即注册”后按要求进行操作），投标人可通过电话：400-883-9300进行业务咨询及注册企业账号等业务（注册企业账号为免费服务）。</w:t>
      </w:r>
    </w:p>
    <w:p w14:paraId="2982F0B1">
      <w:pPr>
        <w:spacing w:line="432" w:lineRule="auto"/>
        <w:ind w:firstLine="420" w:firstLineChars="200"/>
        <w:rPr>
          <w:rFonts w:hint="eastAsia" w:ascii="宋体" w:hAnsi="宋体"/>
          <w:bCs/>
          <w:color w:val="auto"/>
          <w:kern w:val="2"/>
          <w:sz w:val="21"/>
          <w:szCs w:val="21"/>
          <w:highlight w:val="none"/>
        </w:rPr>
      </w:pPr>
      <w:r>
        <w:rPr>
          <w:rFonts w:hint="eastAsia" w:ascii="宋体" w:hAnsi="宋体"/>
          <w:bCs/>
          <w:color w:val="auto"/>
          <w:kern w:val="2"/>
          <w:sz w:val="21"/>
          <w:szCs w:val="21"/>
          <w:highlight w:val="none"/>
        </w:rPr>
        <w:t>技术操作咨询：云南纽智晨科技有限公司  服务热线：400-883-9300</w:t>
      </w:r>
    </w:p>
    <w:p w14:paraId="1F5871A5">
      <w:pPr>
        <w:spacing w:line="432" w:lineRule="auto"/>
        <w:ind w:firstLine="420" w:firstLineChars="200"/>
        <w:rPr>
          <w:rFonts w:hint="eastAsia" w:ascii="宋体" w:hAnsi="宋体"/>
          <w:bCs/>
          <w:color w:val="auto"/>
          <w:kern w:val="2"/>
          <w:sz w:val="21"/>
          <w:szCs w:val="21"/>
          <w:highlight w:val="none"/>
        </w:rPr>
      </w:pPr>
      <w:r>
        <w:rPr>
          <w:rFonts w:hint="eastAsia" w:ascii="宋体" w:hAnsi="宋体"/>
          <w:bCs/>
          <w:color w:val="auto"/>
          <w:kern w:val="2"/>
          <w:sz w:val="21"/>
          <w:szCs w:val="21"/>
          <w:highlight w:val="none"/>
        </w:rPr>
        <w:t>（</w:t>
      </w:r>
      <w:r>
        <w:rPr>
          <w:rFonts w:ascii="宋体" w:hAnsi="宋体"/>
          <w:bCs/>
          <w:color w:val="auto"/>
          <w:kern w:val="2"/>
          <w:sz w:val="21"/>
          <w:szCs w:val="21"/>
          <w:highlight w:val="none"/>
        </w:rPr>
        <w:t>3</w:t>
      </w:r>
      <w:r>
        <w:rPr>
          <w:rFonts w:hint="eastAsia" w:ascii="宋体" w:hAnsi="宋体"/>
          <w:bCs/>
          <w:color w:val="auto"/>
          <w:kern w:val="2"/>
          <w:sz w:val="21"/>
          <w:szCs w:val="21"/>
          <w:highlight w:val="none"/>
        </w:rPr>
        <w:t>）发票开具：如有开票需要请联系昆明晨晟的发票客服，准备开票资料——添加客服QQ：3012470554(备注开票单位名称)——提交开票信息——核实信息——开票；</w:t>
      </w:r>
    </w:p>
    <w:p w14:paraId="1F0C9B63">
      <w:pPr>
        <w:spacing w:line="432" w:lineRule="auto"/>
        <w:ind w:firstLine="420" w:firstLineChars="200"/>
        <w:rPr>
          <w:rFonts w:hint="eastAsia" w:ascii="宋体" w:hAnsi="宋体"/>
          <w:bCs/>
          <w:color w:val="auto"/>
          <w:kern w:val="2"/>
          <w:sz w:val="21"/>
          <w:szCs w:val="21"/>
          <w:highlight w:val="none"/>
        </w:rPr>
      </w:pPr>
      <w:r>
        <w:rPr>
          <w:rFonts w:hint="eastAsia" w:ascii="宋体" w:hAnsi="宋体"/>
          <w:bCs/>
          <w:color w:val="auto"/>
          <w:kern w:val="2"/>
          <w:sz w:val="21"/>
          <w:szCs w:val="21"/>
          <w:highlight w:val="none"/>
        </w:rPr>
        <w:t>开票需提前准备以下资料：</w:t>
      </w:r>
    </w:p>
    <w:p w14:paraId="41B1F3A4">
      <w:pPr>
        <w:spacing w:line="432" w:lineRule="auto"/>
        <w:ind w:firstLine="420" w:firstLineChars="200"/>
        <w:rPr>
          <w:rFonts w:hint="eastAsia" w:ascii="宋体" w:hAnsi="宋体"/>
          <w:bCs/>
          <w:color w:val="auto"/>
          <w:kern w:val="2"/>
          <w:sz w:val="21"/>
          <w:szCs w:val="21"/>
          <w:highlight w:val="none"/>
        </w:rPr>
      </w:pPr>
      <w:r>
        <w:rPr>
          <w:rFonts w:hint="eastAsia" w:ascii="宋体" w:hAnsi="宋体"/>
          <w:bCs/>
          <w:color w:val="auto"/>
          <w:kern w:val="2"/>
          <w:sz w:val="21"/>
          <w:szCs w:val="21"/>
          <w:highlight w:val="none"/>
        </w:rPr>
        <w:t>普票：开票信息+付款凭证</w:t>
      </w:r>
    </w:p>
    <w:p w14:paraId="62DCA9C7">
      <w:pPr>
        <w:spacing w:line="432" w:lineRule="auto"/>
        <w:ind w:firstLine="420" w:firstLineChars="200"/>
        <w:rPr>
          <w:rFonts w:hint="eastAsia" w:ascii="宋体" w:hAnsi="宋体"/>
          <w:bCs/>
          <w:color w:val="auto"/>
          <w:kern w:val="2"/>
          <w:sz w:val="21"/>
          <w:szCs w:val="21"/>
          <w:highlight w:val="none"/>
        </w:rPr>
      </w:pPr>
      <w:r>
        <w:rPr>
          <w:rFonts w:hint="eastAsia" w:ascii="宋体" w:hAnsi="宋体"/>
          <w:bCs/>
          <w:color w:val="auto"/>
          <w:kern w:val="2"/>
          <w:sz w:val="21"/>
          <w:szCs w:val="21"/>
          <w:highlight w:val="none"/>
        </w:rPr>
        <w:t>专票：开票信息+付款凭证+一般纳税人证明材料。</w:t>
      </w:r>
    </w:p>
    <w:p w14:paraId="466A10E8">
      <w:pPr>
        <w:spacing w:line="432" w:lineRule="auto"/>
        <w:rPr>
          <w:rFonts w:eastAsia="黑体"/>
          <w:color w:val="auto"/>
          <w:sz w:val="24"/>
          <w:szCs w:val="24"/>
          <w:highlight w:val="none"/>
        </w:rPr>
      </w:pPr>
      <w:r>
        <w:rPr>
          <w:rFonts w:hint="eastAsia" w:eastAsia="黑体"/>
          <w:color w:val="auto"/>
          <w:sz w:val="24"/>
          <w:szCs w:val="24"/>
          <w:highlight w:val="none"/>
        </w:rPr>
        <w:t xml:space="preserve">5．电子竞争性磋商响应文件的递交  </w:t>
      </w:r>
    </w:p>
    <w:p w14:paraId="6E177769">
      <w:pPr>
        <w:widowControl w:val="0"/>
        <w:wordWrap w:val="0"/>
        <w:spacing w:line="432" w:lineRule="auto"/>
        <w:ind w:firstLine="420" w:firstLineChars="200"/>
        <w:jc w:val="both"/>
        <w:rPr>
          <w:rFonts w:hint="eastAsia" w:ascii="宋体" w:hAnsi="宋体" w:cs="宋体"/>
          <w:color w:val="auto"/>
          <w:sz w:val="21"/>
          <w:szCs w:val="21"/>
          <w:highlight w:val="none"/>
        </w:rPr>
      </w:pPr>
      <w:bookmarkStart w:id="5" w:name="_Hlk101532847"/>
      <w:bookmarkEnd w:id="5"/>
      <w:r>
        <w:rPr>
          <w:rFonts w:ascii="宋体" w:hAnsi="宋体" w:cs="宋体"/>
          <w:color w:val="auto"/>
          <w:sz w:val="21"/>
          <w:szCs w:val="21"/>
          <w:highlight w:val="none"/>
        </w:rPr>
        <w:t>5.1 竞争性磋商响应文件递交截止时间为2026年10月</w:t>
      </w:r>
      <w:r>
        <w:rPr>
          <w:rFonts w:hint="eastAsia" w:ascii="宋体" w:hAnsi="宋体" w:cs="宋体"/>
          <w:color w:val="auto"/>
          <w:sz w:val="21"/>
          <w:szCs w:val="21"/>
          <w:highlight w:val="none"/>
        </w:rPr>
        <w:t>30</w:t>
      </w:r>
      <w:r>
        <w:rPr>
          <w:rFonts w:ascii="宋体" w:hAnsi="宋体" w:cs="宋体"/>
          <w:color w:val="auto"/>
          <w:sz w:val="21"/>
          <w:szCs w:val="21"/>
          <w:highlight w:val="none"/>
        </w:rPr>
        <w:t>日</w:t>
      </w:r>
      <w:r>
        <w:rPr>
          <w:rFonts w:hint="eastAsia" w:ascii="宋体" w:hAnsi="宋体" w:cs="宋体"/>
          <w:color w:val="auto"/>
          <w:sz w:val="21"/>
          <w:szCs w:val="21"/>
          <w:highlight w:val="none"/>
        </w:rPr>
        <w:t>14</w:t>
      </w:r>
      <w:r>
        <w:rPr>
          <w:rFonts w:ascii="宋体" w:hAnsi="宋体" w:cs="宋体"/>
          <w:color w:val="auto"/>
          <w:sz w:val="21"/>
          <w:szCs w:val="21"/>
          <w:highlight w:val="none"/>
        </w:rPr>
        <w:t>时</w:t>
      </w:r>
      <w:r>
        <w:rPr>
          <w:rFonts w:hint="eastAsia" w:ascii="宋体" w:hAnsi="宋体" w:cs="宋体"/>
          <w:color w:val="auto"/>
          <w:sz w:val="21"/>
          <w:szCs w:val="21"/>
          <w:highlight w:val="none"/>
        </w:rPr>
        <w:t>00</w:t>
      </w:r>
      <w:r>
        <w:rPr>
          <w:rFonts w:ascii="宋体" w:hAnsi="宋体" w:cs="宋体"/>
          <w:color w:val="auto"/>
          <w:sz w:val="21"/>
          <w:szCs w:val="21"/>
          <w:highlight w:val="none"/>
        </w:rPr>
        <w:t>分。</w:t>
      </w:r>
    </w:p>
    <w:p w14:paraId="154CDCE6">
      <w:pPr>
        <w:widowControl w:val="0"/>
        <w:wordWrap w:val="0"/>
        <w:spacing w:line="432" w:lineRule="auto"/>
        <w:ind w:firstLine="420" w:firstLineChars="200"/>
        <w:jc w:val="both"/>
        <w:rPr>
          <w:rFonts w:hint="eastAsia" w:ascii="宋体" w:hAnsi="宋体" w:cs="宋体"/>
          <w:color w:val="auto"/>
          <w:sz w:val="21"/>
          <w:szCs w:val="21"/>
          <w:highlight w:val="none"/>
        </w:rPr>
      </w:pPr>
      <w:r>
        <w:rPr>
          <w:rFonts w:hint="eastAsia" w:ascii="宋体" w:hAnsi="宋体" w:cs="宋体"/>
          <w:color w:val="auto"/>
          <w:sz w:val="21"/>
          <w:szCs w:val="21"/>
          <w:highlight w:val="none"/>
        </w:rPr>
        <w:t>5.2 竞争性磋商响应文件递交方式：网上递交。</w:t>
      </w:r>
    </w:p>
    <w:p w14:paraId="40C330CE">
      <w:pPr>
        <w:widowControl w:val="0"/>
        <w:wordWrap w:val="0"/>
        <w:spacing w:line="432" w:lineRule="auto"/>
        <w:ind w:firstLine="420" w:firstLineChars="200"/>
        <w:jc w:val="both"/>
        <w:rPr>
          <w:rFonts w:hint="eastAsia" w:ascii="宋体" w:hAnsi="宋体" w:cs="宋体"/>
          <w:color w:val="auto"/>
          <w:sz w:val="21"/>
          <w:szCs w:val="21"/>
          <w:highlight w:val="none"/>
        </w:rPr>
      </w:pPr>
      <w:r>
        <w:rPr>
          <w:rFonts w:hint="eastAsia" w:ascii="宋体" w:hAnsi="宋体" w:cs="宋体"/>
          <w:color w:val="auto"/>
          <w:sz w:val="21"/>
          <w:szCs w:val="21"/>
          <w:highlight w:val="none"/>
        </w:rPr>
        <w:t>5.3 网上递交流程：供应商须在竞争性磋商响应文件递交截止时间前登录阳光臻达电子招投标交易平台（网址：https://dzztb.ygzdztb.com/)完成竞争性磋商响应文件的加密及上传，网上确认电子签名。截止时间前未完成传输的，视为未递交。</w:t>
      </w:r>
    </w:p>
    <w:p w14:paraId="1B343318">
      <w:pPr>
        <w:widowControl w:val="0"/>
        <w:wordWrap w:val="0"/>
        <w:spacing w:line="432" w:lineRule="auto"/>
        <w:ind w:firstLine="422" w:firstLineChars="200"/>
        <w:jc w:val="both"/>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5</w:t>
      </w:r>
      <w:r>
        <w:rPr>
          <w:rFonts w:ascii="宋体" w:hAnsi="宋体" w:cs="宋体"/>
          <w:b/>
          <w:bCs/>
          <w:color w:val="auto"/>
          <w:sz w:val="21"/>
          <w:szCs w:val="21"/>
          <w:highlight w:val="none"/>
        </w:rPr>
        <w:t xml:space="preserve">.4 </w:t>
      </w:r>
      <w:r>
        <w:rPr>
          <w:rFonts w:hint="eastAsia" w:ascii="宋体" w:hAnsi="宋体" w:cs="宋体"/>
          <w:b/>
          <w:bCs/>
          <w:color w:val="auto"/>
          <w:sz w:val="21"/>
          <w:szCs w:val="21"/>
          <w:highlight w:val="none"/>
        </w:rPr>
        <w:t>开标说明：</w:t>
      </w:r>
    </w:p>
    <w:p w14:paraId="3C98D48B">
      <w:pPr>
        <w:widowControl w:val="0"/>
        <w:wordWrap w:val="0"/>
        <w:spacing w:line="432" w:lineRule="auto"/>
        <w:ind w:firstLine="422" w:firstLineChars="200"/>
        <w:jc w:val="both"/>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（1）本项目的开标会议将于上述竞争性磋商响应文件递交截止的同一时间在昆明晨晟招标有限责任公司（昆明市世博路16号世博生态城低碳中心B座1单元12层）会议室进行。</w:t>
      </w:r>
    </w:p>
    <w:p w14:paraId="4E1EB482">
      <w:pPr>
        <w:widowControl w:val="0"/>
        <w:wordWrap w:val="0"/>
        <w:spacing w:line="432" w:lineRule="auto"/>
        <w:ind w:firstLine="422" w:firstLineChars="200"/>
        <w:jc w:val="both"/>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2）供应商无需到现场参加开标会议。供应商须在竞争性磋商文件规定的投标截止时间前登录“网上开标室”，根据网上远程解密、开标的要求，在规定的时间完成在线签到、解密、开标一览表确认等操作。若供应商未在规定时间完成相关操作，则视为撤销其竞争性磋商响应文件，不再进入评审阶段。</w:t>
      </w:r>
    </w:p>
    <w:p w14:paraId="0AFFBB2B">
      <w:pPr>
        <w:spacing w:line="432" w:lineRule="auto"/>
        <w:ind w:firstLine="422" w:firstLineChars="200"/>
        <w:rPr>
          <w:color w:val="auto"/>
          <w:sz w:val="21"/>
          <w:szCs w:val="21"/>
          <w:highlight w:val="none"/>
        </w:rPr>
      </w:pPr>
      <w:r>
        <w:rPr>
          <w:rFonts w:hint="eastAsia" w:ascii="宋体" w:hAnsi="宋体" w:cs="宋体"/>
          <w:b/>
          <w:bCs/>
          <w:color w:val="auto"/>
          <w:sz w:val="21"/>
          <w:szCs w:val="21"/>
          <w:highlight w:val="none"/>
        </w:rPr>
        <w:t>（3）供应商应提前熟悉网上开标远程解密有关操作事项，技术操作咨询：云南纽智晨科技有限公司服务热线：400-883-9300。电子平台相关操作流程可登录阳光臻达电子招投标交易平台（网址：https://dzztb.ygzdztb.com/)——下载专区页面下载操作手册进行查看。</w:t>
      </w:r>
    </w:p>
    <w:p w14:paraId="0FBC0F3B">
      <w:pPr>
        <w:spacing w:line="432" w:lineRule="auto"/>
        <w:rPr>
          <w:rFonts w:eastAsia="黑体"/>
          <w:color w:val="auto"/>
          <w:sz w:val="24"/>
          <w:szCs w:val="24"/>
          <w:highlight w:val="none"/>
        </w:rPr>
      </w:pPr>
      <w:r>
        <w:rPr>
          <w:rFonts w:hint="eastAsia" w:eastAsia="黑体"/>
          <w:color w:val="auto"/>
          <w:sz w:val="24"/>
          <w:szCs w:val="24"/>
          <w:highlight w:val="none"/>
        </w:rPr>
        <w:t>6．发布公告的媒介</w:t>
      </w:r>
    </w:p>
    <w:p w14:paraId="3CA0FD29">
      <w:pPr>
        <w:widowControl w:val="0"/>
        <w:wordWrap w:val="0"/>
        <w:spacing w:line="432" w:lineRule="auto"/>
        <w:ind w:firstLine="420" w:firstLineChars="200"/>
        <w:jc w:val="both"/>
        <w:rPr>
          <w:rFonts w:hint="eastAsia" w:ascii="宋体" w:hAnsi="宋体" w:cs="宋体"/>
          <w:color w:val="auto"/>
          <w:sz w:val="21"/>
          <w:szCs w:val="21"/>
          <w:highlight w:val="none"/>
        </w:rPr>
      </w:pPr>
      <w:r>
        <w:rPr>
          <w:rFonts w:hint="eastAsia" w:ascii="宋体" w:hAnsi="宋体" w:cs="宋体"/>
          <w:color w:val="auto"/>
          <w:sz w:val="21"/>
          <w:szCs w:val="21"/>
          <w:highlight w:val="none"/>
        </w:rPr>
        <w:t>本次招标公告在中国招标投标公共服务平台（http://www.cebpubservice.com/）、中国采购与招标网（http://www.chinabidding.com.cn/）、阳光臻达电子招投标交易平台（网址：</w:t>
      </w:r>
      <w:r>
        <w:rPr>
          <w:color w:val="auto"/>
          <w:highlight w:val="none"/>
        </w:rPr>
        <w:fldChar w:fldCharType="begin"/>
      </w:r>
      <w:r>
        <w:rPr>
          <w:color w:val="auto"/>
          <w:highlight w:val="none"/>
        </w:rPr>
        <w:instrText xml:space="preserve"> HYPERLINK "https://dzztb.ygzdztb.com/）上发布，我公司对其他网站或媒体转载的公告及公告内容不承担任何责任。" </w:instrText>
      </w:r>
      <w:r>
        <w:rPr>
          <w:color w:val="auto"/>
          <w:highlight w:val="none"/>
        </w:rPr>
        <w:fldChar w:fldCharType="separate"/>
      </w:r>
      <w:r>
        <w:rPr>
          <w:rFonts w:hint="eastAsia" w:ascii="宋体" w:hAnsi="宋体" w:cs="宋体"/>
          <w:color w:val="auto"/>
          <w:sz w:val="21"/>
          <w:szCs w:val="21"/>
          <w:highlight w:val="none"/>
        </w:rPr>
        <w:t>https://dzztb.ygzdztb.com/）上发布，我公司对其他网站或媒体转载的公告及公告内容不承担任何责任。</w:t>
      </w:r>
      <w:r>
        <w:rPr>
          <w:rFonts w:hint="eastAsia" w:ascii="宋体" w:hAnsi="宋体" w:cs="宋体"/>
          <w:color w:val="auto"/>
          <w:sz w:val="21"/>
          <w:szCs w:val="21"/>
          <w:highlight w:val="none"/>
        </w:rPr>
        <w:fldChar w:fldCharType="end"/>
      </w:r>
    </w:p>
    <w:p w14:paraId="071CE69D">
      <w:pPr>
        <w:spacing w:line="432" w:lineRule="auto"/>
        <w:rPr>
          <w:rFonts w:eastAsia="黑体"/>
          <w:color w:val="auto"/>
          <w:sz w:val="24"/>
          <w:szCs w:val="24"/>
          <w:highlight w:val="none"/>
        </w:rPr>
      </w:pPr>
      <w:r>
        <w:rPr>
          <w:rFonts w:hint="eastAsia" w:eastAsia="黑体"/>
          <w:color w:val="auto"/>
          <w:sz w:val="24"/>
          <w:szCs w:val="24"/>
          <w:highlight w:val="none"/>
        </w:rPr>
        <w:t>7．联系方式</w:t>
      </w:r>
    </w:p>
    <w:p w14:paraId="7AC7CAE8">
      <w:pPr>
        <w:spacing w:line="432" w:lineRule="auto"/>
        <w:ind w:firstLine="437"/>
        <w:rPr>
          <w:color w:val="auto"/>
          <w:sz w:val="21"/>
          <w:szCs w:val="22"/>
          <w:highlight w:val="none"/>
        </w:rPr>
      </w:pPr>
      <w:r>
        <w:rPr>
          <w:color w:val="auto"/>
          <w:sz w:val="21"/>
          <w:szCs w:val="22"/>
          <w:highlight w:val="none"/>
        </w:rPr>
        <w:t>名    称：云南民族村有限责任公司</w:t>
      </w:r>
    </w:p>
    <w:p w14:paraId="5DC0171F">
      <w:pPr>
        <w:spacing w:line="432" w:lineRule="auto"/>
        <w:ind w:firstLine="437"/>
        <w:rPr>
          <w:color w:val="auto"/>
          <w:sz w:val="21"/>
          <w:szCs w:val="22"/>
          <w:highlight w:val="none"/>
        </w:rPr>
      </w:pPr>
      <w:r>
        <w:rPr>
          <w:color w:val="auto"/>
          <w:sz w:val="21"/>
          <w:szCs w:val="22"/>
          <w:highlight w:val="none"/>
        </w:rPr>
        <w:t>地    址：昆明市西山区滇池路1310号</w:t>
      </w:r>
    </w:p>
    <w:p w14:paraId="2D43EF62">
      <w:pPr>
        <w:spacing w:line="432" w:lineRule="auto"/>
        <w:ind w:firstLine="437"/>
        <w:rPr>
          <w:color w:val="auto"/>
          <w:sz w:val="21"/>
          <w:szCs w:val="22"/>
          <w:highlight w:val="none"/>
        </w:rPr>
      </w:pPr>
      <w:r>
        <w:rPr>
          <w:color w:val="auto"/>
          <w:sz w:val="21"/>
          <w:szCs w:val="22"/>
          <w:highlight w:val="none"/>
        </w:rPr>
        <w:t>联 系 人：郭老师</w:t>
      </w:r>
    </w:p>
    <w:p w14:paraId="22434464">
      <w:pPr>
        <w:spacing w:line="432" w:lineRule="auto"/>
        <w:ind w:firstLine="437"/>
        <w:rPr>
          <w:color w:val="auto"/>
          <w:sz w:val="21"/>
          <w:szCs w:val="22"/>
          <w:highlight w:val="none"/>
        </w:rPr>
      </w:pPr>
      <w:r>
        <w:rPr>
          <w:color w:val="auto"/>
          <w:sz w:val="21"/>
          <w:szCs w:val="22"/>
          <w:highlight w:val="none"/>
        </w:rPr>
        <w:t>电    话：18987272411</w:t>
      </w:r>
    </w:p>
    <w:p w14:paraId="09A3763D">
      <w:pPr>
        <w:pStyle w:val="451"/>
        <w:spacing w:line="432" w:lineRule="auto"/>
        <w:rPr>
          <w:rFonts w:hint="eastAsia"/>
          <w:color w:val="auto"/>
          <w:highlight w:val="none"/>
        </w:rPr>
      </w:pPr>
    </w:p>
    <w:p w14:paraId="5EFBC7B1">
      <w:pPr>
        <w:spacing w:line="432" w:lineRule="auto"/>
        <w:ind w:firstLine="437"/>
        <w:rPr>
          <w:color w:val="auto"/>
          <w:sz w:val="21"/>
          <w:szCs w:val="22"/>
          <w:highlight w:val="none"/>
        </w:rPr>
      </w:pPr>
      <w:r>
        <w:rPr>
          <w:rFonts w:hint="eastAsia"/>
          <w:color w:val="auto"/>
          <w:sz w:val="21"/>
          <w:szCs w:val="22"/>
          <w:highlight w:val="none"/>
        </w:rPr>
        <w:t xml:space="preserve">招标代理机构：昆明晨晟招标有限责任公司 </w:t>
      </w:r>
    </w:p>
    <w:p w14:paraId="7C28C0B7">
      <w:pPr>
        <w:spacing w:line="432" w:lineRule="auto"/>
        <w:ind w:firstLine="437"/>
        <w:rPr>
          <w:color w:val="auto"/>
          <w:sz w:val="21"/>
          <w:szCs w:val="22"/>
          <w:highlight w:val="none"/>
        </w:rPr>
      </w:pPr>
      <w:r>
        <w:rPr>
          <w:rFonts w:hint="eastAsia"/>
          <w:color w:val="auto"/>
          <w:sz w:val="21"/>
          <w:szCs w:val="22"/>
          <w:highlight w:val="none"/>
        </w:rPr>
        <w:t>地    址：昆明市世博路16号世博生态城低碳中心B座1单元12层</w:t>
      </w:r>
    </w:p>
    <w:p w14:paraId="42763081">
      <w:pPr>
        <w:spacing w:line="432" w:lineRule="auto"/>
        <w:ind w:firstLine="420" w:firstLineChars="200"/>
        <w:rPr>
          <w:color w:val="auto"/>
          <w:sz w:val="21"/>
          <w:szCs w:val="21"/>
          <w:highlight w:val="none"/>
        </w:rPr>
      </w:pPr>
      <w:r>
        <w:rPr>
          <w:rFonts w:hint="eastAsia"/>
          <w:color w:val="auto"/>
          <w:sz w:val="21"/>
          <w:szCs w:val="21"/>
          <w:highlight w:val="none"/>
        </w:rPr>
        <w:t>联系人：赵笑婷、李曼溪</w:t>
      </w:r>
    </w:p>
    <w:p w14:paraId="4B2FA0CD">
      <w:pPr>
        <w:spacing w:line="432" w:lineRule="auto"/>
        <w:ind w:firstLine="420" w:firstLineChars="200"/>
        <w:rPr>
          <w:color w:val="auto"/>
          <w:sz w:val="21"/>
          <w:szCs w:val="21"/>
          <w:highlight w:val="none"/>
        </w:rPr>
      </w:pPr>
      <w:r>
        <w:rPr>
          <w:rFonts w:hint="eastAsia"/>
          <w:color w:val="auto"/>
          <w:sz w:val="21"/>
          <w:szCs w:val="21"/>
          <w:highlight w:val="none"/>
        </w:rPr>
        <w:t>电话：13238682390、15825255353</w:t>
      </w:r>
    </w:p>
    <w:p w14:paraId="7D38AD70">
      <w:pPr>
        <w:spacing w:line="432" w:lineRule="auto"/>
        <w:ind w:firstLine="420" w:firstLineChars="200"/>
        <w:rPr>
          <w:color w:val="auto"/>
          <w:highlight w:val="none"/>
        </w:rPr>
      </w:pPr>
      <w:r>
        <w:rPr>
          <w:rFonts w:hint="eastAsia"/>
          <w:color w:val="auto"/>
          <w:sz w:val="21"/>
          <w:szCs w:val="21"/>
          <w:highlight w:val="none"/>
        </w:rPr>
        <w:t>传</w:t>
      </w:r>
      <w:r>
        <w:rPr>
          <w:color w:val="auto"/>
          <w:sz w:val="21"/>
          <w:szCs w:val="21"/>
          <w:highlight w:val="none"/>
        </w:rPr>
        <w:t xml:space="preserve">    </w:t>
      </w:r>
      <w:r>
        <w:rPr>
          <w:rFonts w:hint="eastAsia"/>
          <w:color w:val="auto"/>
          <w:sz w:val="21"/>
          <w:szCs w:val="21"/>
          <w:highlight w:val="none"/>
        </w:rPr>
        <w:t>真：（</w:t>
      </w:r>
      <w:r>
        <w:rPr>
          <w:color w:val="auto"/>
          <w:sz w:val="21"/>
          <w:szCs w:val="21"/>
          <w:highlight w:val="none"/>
        </w:rPr>
        <w:t>0871</w:t>
      </w:r>
      <w:r>
        <w:rPr>
          <w:rFonts w:hint="eastAsia"/>
          <w:color w:val="auto"/>
          <w:sz w:val="21"/>
          <w:szCs w:val="21"/>
          <w:highlight w:val="none"/>
        </w:rPr>
        <w:t>）6</w:t>
      </w:r>
      <w:r>
        <w:rPr>
          <w:color w:val="auto"/>
          <w:sz w:val="21"/>
          <w:szCs w:val="21"/>
          <w:highlight w:val="none"/>
        </w:rPr>
        <w:t>3145686</w:t>
      </w:r>
    </w:p>
    <w:p w14:paraId="0262A125">
      <w:pPr>
        <w:rPr>
          <w:color w:val="auto"/>
          <w:highlight w:val="none"/>
        </w:rPr>
      </w:pPr>
    </w:p>
    <w:p w14:paraId="1CCCBADF">
      <w:pPr>
        <w:pStyle w:val="2"/>
        <w:spacing w:line="360" w:lineRule="auto"/>
        <w:jc w:val="center"/>
        <w:rPr>
          <w:rFonts w:eastAsia="黑体"/>
          <w:color w:val="auto"/>
          <w:sz w:val="36"/>
          <w:szCs w:val="36"/>
          <w:highlight w:val="none"/>
        </w:rPr>
      </w:pPr>
      <w:r>
        <w:rPr>
          <w:rFonts w:hint="eastAsia" w:eastAsia="黑体"/>
          <w:color w:val="auto"/>
          <w:sz w:val="36"/>
          <w:szCs w:val="36"/>
          <w:highlight w:val="none"/>
        </w:rPr>
        <w:br w:type="page"/>
      </w:r>
      <w:bookmarkStart w:id="6" w:name="_Toc57900424"/>
      <w:bookmarkStart w:id="7" w:name="_Toc243176578"/>
      <w:bookmarkStart w:id="8" w:name="_Toc14797"/>
      <w:bookmarkStart w:id="9" w:name="_Toc240288645"/>
      <w:r>
        <w:rPr>
          <w:rFonts w:hint="eastAsia" w:eastAsia="黑体"/>
          <w:color w:val="auto"/>
          <w:sz w:val="36"/>
          <w:szCs w:val="36"/>
          <w:highlight w:val="none"/>
        </w:rPr>
        <w:t>第二章 磋商须知</w:t>
      </w:r>
      <w:bookmarkEnd w:id="6"/>
      <w:bookmarkEnd w:id="7"/>
      <w:bookmarkEnd w:id="8"/>
      <w:bookmarkEnd w:id="9"/>
    </w:p>
    <w:p w14:paraId="7529B9DA">
      <w:pPr>
        <w:pStyle w:val="5"/>
        <w:adjustRightInd w:val="0"/>
        <w:snapToGrid w:val="0"/>
        <w:spacing w:before="0" w:after="0" w:line="240" w:lineRule="auto"/>
        <w:jc w:val="center"/>
        <w:rPr>
          <w:rFonts w:ascii="Times New Roman" w:hAnsi="Times New Roman"/>
          <w:color w:val="auto"/>
          <w:highlight w:val="none"/>
        </w:rPr>
      </w:pPr>
      <w:bookmarkStart w:id="10" w:name="_Toc305846481"/>
      <w:bookmarkStart w:id="11" w:name="_Toc303168487"/>
      <w:bookmarkStart w:id="12" w:name="_Toc229583199"/>
      <w:bookmarkStart w:id="13" w:name="_Toc152047200"/>
      <w:bookmarkStart w:id="14" w:name="_Toc144974404"/>
      <w:bookmarkStart w:id="15" w:name="_Toc179715693"/>
      <w:r>
        <w:rPr>
          <w:rFonts w:hint="eastAsia" w:ascii="Times New Roman" w:hAnsi="Times New Roman"/>
          <w:color w:val="auto"/>
          <w:highlight w:val="none"/>
        </w:rPr>
        <w:t>磋商须知前附表</w:t>
      </w:r>
      <w:bookmarkEnd w:id="10"/>
      <w:bookmarkEnd w:id="11"/>
      <w:bookmarkEnd w:id="12"/>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2368"/>
        <w:gridCol w:w="6655"/>
      </w:tblGrid>
      <w:tr w14:paraId="2119D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886" w:type="dxa"/>
            <w:vAlign w:val="center"/>
          </w:tcPr>
          <w:p w14:paraId="5CCBE3EB">
            <w:pPr>
              <w:spacing w:line="360" w:lineRule="auto"/>
              <w:jc w:val="center"/>
              <w:rPr>
                <w:b/>
                <w:color w:val="auto"/>
                <w:sz w:val="21"/>
                <w:szCs w:val="21"/>
                <w:highlight w:val="none"/>
              </w:rPr>
            </w:pPr>
            <w:r>
              <w:rPr>
                <w:rFonts w:hint="eastAsia"/>
                <w:b/>
                <w:color w:val="auto"/>
                <w:sz w:val="21"/>
                <w:szCs w:val="21"/>
                <w:highlight w:val="none"/>
              </w:rPr>
              <w:t>条款号</w:t>
            </w:r>
          </w:p>
        </w:tc>
        <w:tc>
          <w:tcPr>
            <w:tcW w:w="2368" w:type="dxa"/>
            <w:vAlign w:val="center"/>
          </w:tcPr>
          <w:p w14:paraId="14F394CD">
            <w:pPr>
              <w:spacing w:line="360" w:lineRule="auto"/>
              <w:jc w:val="center"/>
              <w:rPr>
                <w:b/>
                <w:color w:val="auto"/>
                <w:sz w:val="21"/>
                <w:szCs w:val="21"/>
                <w:highlight w:val="none"/>
              </w:rPr>
            </w:pPr>
            <w:r>
              <w:rPr>
                <w:rFonts w:hint="eastAsia"/>
                <w:b/>
                <w:color w:val="auto"/>
                <w:sz w:val="21"/>
                <w:szCs w:val="21"/>
                <w:highlight w:val="none"/>
              </w:rPr>
              <w:t>条 款 名 称</w:t>
            </w:r>
          </w:p>
        </w:tc>
        <w:tc>
          <w:tcPr>
            <w:tcW w:w="6655" w:type="dxa"/>
            <w:vAlign w:val="center"/>
          </w:tcPr>
          <w:p w14:paraId="5FA03B90">
            <w:pPr>
              <w:spacing w:line="360" w:lineRule="auto"/>
              <w:jc w:val="center"/>
              <w:rPr>
                <w:b/>
                <w:color w:val="auto"/>
                <w:sz w:val="21"/>
                <w:szCs w:val="21"/>
                <w:highlight w:val="none"/>
              </w:rPr>
            </w:pPr>
            <w:r>
              <w:rPr>
                <w:rFonts w:hint="eastAsia"/>
                <w:b/>
                <w:color w:val="auto"/>
                <w:sz w:val="21"/>
                <w:szCs w:val="21"/>
                <w:highlight w:val="none"/>
              </w:rPr>
              <w:t>编  列  内  容</w:t>
            </w:r>
          </w:p>
        </w:tc>
      </w:tr>
      <w:tr w14:paraId="1998E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9" w:hRule="atLeast"/>
          <w:jc w:val="center"/>
        </w:trPr>
        <w:tc>
          <w:tcPr>
            <w:tcW w:w="886" w:type="dxa"/>
            <w:vAlign w:val="center"/>
          </w:tcPr>
          <w:p w14:paraId="77EFB6B7">
            <w:pPr>
              <w:spacing w:line="360" w:lineRule="auto"/>
              <w:jc w:val="center"/>
              <w:rPr>
                <w:color w:val="auto"/>
                <w:sz w:val="21"/>
                <w:szCs w:val="21"/>
                <w:highlight w:val="none"/>
              </w:rPr>
            </w:pPr>
            <w:r>
              <w:rPr>
                <w:rFonts w:hint="eastAsia"/>
                <w:color w:val="auto"/>
                <w:sz w:val="21"/>
                <w:szCs w:val="21"/>
                <w:highlight w:val="none"/>
              </w:rPr>
              <w:t>1</w:t>
            </w:r>
          </w:p>
        </w:tc>
        <w:tc>
          <w:tcPr>
            <w:tcW w:w="2368" w:type="dxa"/>
            <w:vAlign w:val="center"/>
          </w:tcPr>
          <w:p w14:paraId="424192C6">
            <w:pPr>
              <w:spacing w:line="360" w:lineRule="auto"/>
              <w:jc w:val="center"/>
              <w:rPr>
                <w:color w:val="auto"/>
                <w:sz w:val="21"/>
                <w:szCs w:val="21"/>
                <w:highlight w:val="none"/>
              </w:rPr>
            </w:pPr>
            <w:r>
              <w:rPr>
                <w:rFonts w:hint="eastAsia"/>
                <w:color w:val="auto"/>
                <w:sz w:val="21"/>
                <w:szCs w:val="21"/>
                <w:highlight w:val="none"/>
              </w:rPr>
              <w:t>发包人</w:t>
            </w:r>
          </w:p>
        </w:tc>
        <w:tc>
          <w:tcPr>
            <w:tcW w:w="6655" w:type="dxa"/>
            <w:vAlign w:val="center"/>
          </w:tcPr>
          <w:p w14:paraId="68A89F5A">
            <w:pPr>
              <w:rPr>
                <w:color w:val="auto"/>
                <w:highlight w:val="none"/>
              </w:rPr>
            </w:pPr>
            <w:r>
              <w:rPr>
                <w:rFonts w:ascii="宋体" w:hAnsi="宋体"/>
                <w:color w:val="auto"/>
                <w:sz w:val="21"/>
                <w:highlight w:val="none"/>
              </w:rPr>
              <w:t>名    称：云南民族村有限责任公司</w:t>
            </w:r>
          </w:p>
          <w:p w14:paraId="27F62F57">
            <w:pPr>
              <w:rPr>
                <w:color w:val="auto"/>
                <w:highlight w:val="none"/>
              </w:rPr>
            </w:pPr>
            <w:r>
              <w:rPr>
                <w:rFonts w:ascii="宋体" w:hAnsi="宋体"/>
                <w:color w:val="auto"/>
                <w:sz w:val="21"/>
                <w:highlight w:val="none"/>
              </w:rPr>
              <w:t>地    址：昆明市西山区滇池路1310号</w:t>
            </w:r>
          </w:p>
          <w:p w14:paraId="2A82E8CF">
            <w:pPr>
              <w:rPr>
                <w:color w:val="auto"/>
                <w:highlight w:val="none"/>
              </w:rPr>
            </w:pPr>
            <w:r>
              <w:rPr>
                <w:rFonts w:ascii="宋体" w:hAnsi="宋体"/>
                <w:color w:val="auto"/>
                <w:sz w:val="21"/>
                <w:highlight w:val="none"/>
              </w:rPr>
              <w:t>联 系 人：郭老师</w:t>
            </w:r>
          </w:p>
          <w:p w14:paraId="7B2A1C9F">
            <w:pPr>
              <w:rPr>
                <w:color w:val="auto"/>
                <w:highlight w:val="none"/>
              </w:rPr>
            </w:pPr>
            <w:r>
              <w:rPr>
                <w:rFonts w:ascii="宋体" w:hAnsi="宋体"/>
                <w:color w:val="auto"/>
                <w:sz w:val="21"/>
                <w:highlight w:val="none"/>
              </w:rPr>
              <w:t>电    话：18987272411</w:t>
            </w:r>
          </w:p>
        </w:tc>
      </w:tr>
      <w:tr w14:paraId="5A86F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7" w:hRule="atLeast"/>
          <w:jc w:val="center"/>
        </w:trPr>
        <w:tc>
          <w:tcPr>
            <w:tcW w:w="886" w:type="dxa"/>
            <w:vAlign w:val="center"/>
          </w:tcPr>
          <w:p w14:paraId="1AFA1700">
            <w:pPr>
              <w:spacing w:line="360" w:lineRule="auto"/>
              <w:jc w:val="center"/>
              <w:rPr>
                <w:color w:val="auto"/>
                <w:sz w:val="21"/>
                <w:szCs w:val="21"/>
                <w:highlight w:val="none"/>
              </w:rPr>
            </w:pPr>
            <w:r>
              <w:rPr>
                <w:rFonts w:hint="eastAsia"/>
                <w:color w:val="auto"/>
                <w:sz w:val="21"/>
                <w:szCs w:val="21"/>
                <w:highlight w:val="none"/>
              </w:rPr>
              <w:t>2</w:t>
            </w:r>
          </w:p>
        </w:tc>
        <w:tc>
          <w:tcPr>
            <w:tcW w:w="2368" w:type="dxa"/>
            <w:vAlign w:val="center"/>
          </w:tcPr>
          <w:p w14:paraId="0751227C">
            <w:pPr>
              <w:spacing w:line="360" w:lineRule="auto"/>
              <w:jc w:val="center"/>
              <w:rPr>
                <w:color w:val="auto"/>
                <w:sz w:val="21"/>
                <w:szCs w:val="21"/>
                <w:highlight w:val="none"/>
              </w:rPr>
            </w:pPr>
            <w:r>
              <w:rPr>
                <w:rFonts w:hint="eastAsia"/>
                <w:color w:val="auto"/>
                <w:sz w:val="21"/>
                <w:szCs w:val="21"/>
                <w:highlight w:val="none"/>
              </w:rPr>
              <w:t>招标代理机构</w:t>
            </w:r>
          </w:p>
        </w:tc>
        <w:tc>
          <w:tcPr>
            <w:tcW w:w="6655" w:type="dxa"/>
            <w:vAlign w:val="center"/>
          </w:tcPr>
          <w:p w14:paraId="4EA4AD76">
            <w:pPr>
              <w:widowControl w:val="0"/>
              <w:spacing w:line="360" w:lineRule="auto"/>
              <w:jc w:val="both"/>
              <w:rPr>
                <w:color w:val="auto"/>
                <w:sz w:val="21"/>
                <w:szCs w:val="21"/>
                <w:highlight w:val="none"/>
              </w:rPr>
            </w:pPr>
            <w:r>
              <w:rPr>
                <w:rFonts w:hint="eastAsia"/>
                <w:color w:val="auto"/>
                <w:sz w:val="21"/>
                <w:szCs w:val="21"/>
                <w:highlight w:val="none"/>
              </w:rPr>
              <w:t xml:space="preserve">招标代理机构：昆明晨晟招标有限责任公司 </w:t>
            </w:r>
          </w:p>
          <w:p w14:paraId="1E9F6D79">
            <w:pPr>
              <w:widowControl w:val="0"/>
              <w:spacing w:line="360" w:lineRule="auto"/>
              <w:jc w:val="both"/>
              <w:rPr>
                <w:color w:val="auto"/>
                <w:sz w:val="21"/>
                <w:szCs w:val="21"/>
                <w:highlight w:val="none"/>
              </w:rPr>
            </w:pPr>
            <w:r>
              <w:rPr>
                <w:rFonts w:hint="eastAsia"/>
                <w:color w:val="auto"/>
                <w:sz w:val="21"/>
                <w:szCs w:val="21"/>
                <w:highlight w:val="none"/>
              </w:rPr>
              <w:t>地    址：昆明市世博路16号世博生态城低碳中心B座1单元12层</w:t>
            </w:r>
          </w:p>
          <w:p w14:paraId="65377A1F">
            <w:pPr>
              <w:widowControl w:val="0"/>
              <w:spacing w:line="360" w:lineRule="auto"/>
              <w:jc w:val="both"/>
              <w:rPr>
                <w:color w:val="auto"/>
                <w:sz w:val="21"/>
                <w:szCs w:val="21"/>
                <w:highlight w:val="none"/>
              </w:rPr>
            </w:pPr>
            <w:r>
              <w:rPr>
                <w:rFonts w:hint="eastAsia"/>
                <w:color w:val="auto"/>
                <w:sz w:val="21"/>
                <w:szCs w:val="21"/>
                <w:highlight w:val="none"/>
              </w:rPr>
              <w:t>联系人：赵笑婷、李曼溪</w:t>
            </w:r>
          </w:p>
          <w:p w14:paraId="1C54D5D3">
            <w:pPr>
              <w:widowControl w:val="0"/>
              <w:spacing w:line="360" w:lineRule="auto"/>
              <w:jc w:val="both"/>
              <w:rPr>
                <w:color w:val="auto"/>
                <w:sz w:val="21"/>
                <w:szCs w:val="21"/>
                <w:highlight w:val="none"/>
              </w:rPr>
            </w:pPr>
            <w:r>
              <w:rPr>
                <w:rFonts w:hint="eastAsia"/>
                <w:color w:val="auto"/>
                <w:sz w:val="21"/>
                <w:szCs w:val="21"/>
                <w:highlight w:val="none"/>
              </w:rPr>
              <w:t>电话：13238682390、15825255353</w:t>
            </w:r>
          </w:p>
          <w:p w14:paraId="7D9BBBF7">
            <w:pPr>
              <w:spacing w:line="360" w:lineRule="auto"/>
              <w:rPr>
                <w:color w:val="auto"/>
                <w:sz w:val="21"/>
                <w:szCs w:val="21"/>
                <w:highlight w:val="none"/>
              </w:rPr>
            </w:pPr>
            <w:r>
              <w:rPr>
                <w:rFonts w:hint="eastAsia"/>
                <w:color w:val="auto"/>
                <w:sz w:val="21"/>
                <w:szCs w:val="21"/>
                <w:highlight w:val="none"/>
              </w:rPr>
              <w:t>传    真：（0871）63145686</w:t>
            </w:r>
          </w:p>
        </w:tc>
      </w:tr>
      <w:tr w14:paraId="7E9DD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886" w:type="dxa"/>
            <w:vAlign w:val="center"/>
          </w:tcPr>
          <w:p w14:paraId="07675DE3">
            <w:pPr>
              <w:spacing w:line="360" w:lineRule="auto"/>
              <w:jc w:val="center"/>
              <w:rPr>
                <w:color w:val="auto"/>
                <w:sz w:val="21"/>
                <w:szCs w:val="21"/>
                <w:highlight w:val="none"/>
              </w:rPr>
            </w:pPr>
            <w:r>
              <w:rPr>
                <w:rFonts w:hint="eastAsia"/>
                <w:color w:val="auto"/>
                <w:sz w:val="21"/>
                <w:szCs w:val="21"/>
                <w:highlight w:val="none"/>
              </w:rPr>
              <w:t>3</w:t>
            </w:r>
          </w:p>
        </w:tc>
        <w:tc>
          <w:tcPr>
            <w:tcW w:w="2368" w:type="dxa"/>
            <w:vAlign w:val="center"/>
          </w:tcPr>
          <w:p w14:paraId="23897B2C">
            <w:pPr>
              <w:spacing w:line="360" w:lineRule="auto"/>
              <w:jc w:val="center"/>
              <w:rPr>
                <w:color w:val="auto"/>
                <w:sz w:val="21"/>
                <w:szCs w:val="21"/>
                <w:highlight w:val="none"/>
              </w:rPr>
            </w:pPr>
            <w:r>
              <w:rPr>
                <w:rFonts w:hint="eastAsia"/>
                <w:color w:val="auto"/>
                <w:sz w:val="21"/>
                <w:szCs w:val="21"/>
                <w:highlight w:val="none"/>
              </w:rPr>
              <w:t>项目名称</w:t>
            </w:r>
          </w:p>
        </w:tc>
        <w:tc>
          <w:tcPr>
            <w:tcW w:w="6655" w:type="dxa"/>
            <w:vAlign w:val="center"/>
          </w:tcPr>
          <w:p w14:paraId="6C47192E">
            <w:pPr>
              <w:rPr>
                <w:rFonts w:hint="eastAsia" w:eastAsia="宋体"/>
                <w:color w:val="auto"/>
                <w:highlight w:val="none"/>
                <w:lang w:eastAsia="zh-CN"/>
              </w:rPr>
            </w:pPr>
            <w:r>
              <w:rPr>
                <w:rFonts w:hint="eastAsia"/>
                <w:color w:val="auto"/>
                <w:highlight w:val="none"/>
                <w:lang w:eastAsia="zh-CN"/>
              </w:rPr>
              <w:t>云南民族村整体改造及运营提升专项法律服务项目</w:t>
            </w:r>
          </w:p>
        </w:tc>
      </w:tr>
      <w:tr w14:paraId="4F420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86" w:type="dxa"/>
            <w:vAlign w:val="center"/>
          </w:tcPr>
          <w:p w14:paraId="0947E8B3">
            <w:pPr>
              <w:spacing w:line="360" w:lineRule="auto"/>
              <w:jc w:val="center"/>
              <w:rPr>
                <w:color w:val="auto"/>
                <w:sz w:val="21"/>
                <w:szCs w:val="21"/>
                <w:highlight w:val="none"/>
              </w:rPr>
            </w:pPr>
            <w:r>
              <w:rPr>
                <w:rFonts w:hint="eastAsia"/>
                <w:color w:val="auto"/>
                <w:sz w:val="21"/>
                <w:szCs w:val="21"/>
                <w:highlight w:val="none"/>
              </w:rPr>
              <w:t>4</w:t>
            </w:r>
          </w:p>
        </w:tc>
        <w:tc>
          <w:tcPr>
            <w:tcW w:w="2368" w:type="dxa"/>
            <w:vAlign w:val="center"/>
          </w:tcPr>
          <w:p w14:paraId="26B6C31E">
            <w:pPr>
              <w:spacing w:line="360" w:lineRule="auto"/>
              <w:jc w:val="center"/>
              <w:rPr>
                <w:color w:val="auto"/>
                <w:sz w:val="21"/>
                <w:szCs w:val="21"/>
                <w:highlight w:val="none"/>
              </w:rPr>
            </w:pPr>
            <w:r>
              <w:rPr>
                <w:rFonts w:hint="eastAsia"/>
                <w:color w:val="auto"/>
                <w:sz w:val="21"/>
                <w:szCs w:val="21"/>
                <w:highlight w:val="none"/>
              </w:rPr>
              <w:t>资金来源</w:t>
            </w:r>
          </w:p>
        </w:tc>
        <w:tc>
          <w:tcPr>
            <w:tcW w:w="6655" w:type="dxa"/>
            <w:vAlign w:val="center"/>
          </w:tcPr>
          <w:p w14:paraId="4C681031">
            <w:pPr>
              <w:rPr>
                <w:color w:val="auto"/>
                <w:highlight w:val="none"/>
              </w:rPr>
            </w:pPr>
            <w:r>
              <w:rPr>
                <w:rFonts w:ascii="宋体" w:hAnsi="宋体"/>
                <w:color w:val="auto"/>
                <w:sz w:val="21"/>
                <w:highlight w:val="none"/>
              </w:rPr>
              <w:t>自筹资金（企业资金）</w:t>
            </w:r>
          </w:p>
        </w:tc>
      </w:tr>
      <w:tr w14:paraId="7C28E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886" w:type="dxa"/>
            <w:vAlign w:val="center"/>
          </w:tcPr>
          <w:p w14:paraId="34176D4D">
            <w:pPr>
              <w:spacing w:line="360" w:lineRule="auto"/>
              <w:jc w:val="center"/>
              <w:rPr>
                <w:color w:val="auto"/>
                <w:sz w:val="21"/>
                <w:szCs w:val="21"/>
                <w:highlight w:val="none"/>
              </w:rPr>
            </w:pPr>
            <w:r>
              <w:rPr>
                <w:rFonts w:hint="eastAsia"/>
                <w:color w:val="auto"/>
                <w:sz w:val="21"/>
                <w:szCs w:val="21"/>
                <w:highlight w:val="none"/>
              </w:rPr>
              <w:t>5</w:t>
            </w:r>
          </w:p>
        </w:tc>
        <w:tc>
          <w:tcPr>
            <w:tcW w:w="2368" w:type="dxa"/>
            <w:vAlign w:val="center"/>
          </w:tcPr>
          <w:p w14:paraId="01C8ECEE">
            <w:pPr>
              <w:spacing w:line="360" w:lineRule="auto"/>
              <w:jc w:val="center"/>
              <w:rPr>
                <w:color w:val="auto"/>
                <w:sz w:val="21"/>
                <w:szCs w:val="21"/>
                <w:highlight w:val="none"/>
              </w:rPr>
            </w:pPr>
            <w:r>
              <w:rPr>
                <w:rFonts w:hint="eastAsia"/>
                <w:color w:val="auto"/>
                <w:sz w:val="21"/>
                <w:szCs w:val="21"/>
                <w:highlight w:val="none"/>
              </w:rPr>
              <w:t>资金落实情况</w:t>
            </w:r>
          </w:p>
        </w:tc>
        <w:tc>
          <w:tcPr>
            <w:tcW w:w="6655" w:type="dxa"/>
            <w:vAlign w:val="center"/>
          </w:tcPr>
          <w:p w14:paraId="143624A8">
            <w:pPr>
              <w:spacing w:line="360" w:lineRule="auto"/>
              <w:jc w:val="both"/>
              <w:rPr>
                <w:color w:val="auto"/>
                <w:sz w:val="21"/>
                <w:szCs w:val="21"/>
                <w:highlight w:val="none"/>
              </w:rPr>
            </w:pPr>
            <w:r>
              <w:rPr>
                <w:rFonts w:hint="eastAsia"/>
                <w:color w:val="auto"/>
                <w:sz w:val="21"/>
                <w:szCs w:val="21"/>
                <w:highlight w:val="none"/>
              </w:rPr>
              <w:t>已落实</w:t>
            </w:r>
          </w:p>
        </w:tc>
      </w:tr>
      <w:tr w14:paraId="33883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86" w:type="dxa"/>
            <w:vAlign w:val="center"/>
          </w:tcPr>
          <w:p w14:paraId="48DA57AE">
            <w:pPr>
              <w:spacing w:line="360" w:lineRule="auto"/>
              <w:jc w:val="center"/>
              <w:rPr>
                <w:color w:val="auto"/>
                <w:sz w:val="21"/>
                <w:szCs w:val="21"/>
                <w:highlight w:val="none"/>
              </w:rPr>
            </w:pPr>
            <w:r>
              <w:rPr>
                <w:rFonts w:hint="eastAsia"/>
                <w:color w:val="auto"/>
                <w:sz w:val="21"/>
                <w:szCs w:val="21"/>
                <w:highlight w:val="none"/>
              </w:rPr>
              <w:t>6</w:t>
            </w:r>
          </w:p>
        </w:tc>
        <w:tc>
          <w:tcPr>
            <w:tcW w:w="2368" w:type="dxa"/>
            <w:vAlign w:val="center"/>
          </w:tcPr>
          <w:p w14:paraId="7B6282A7">
            <w:pPr>
              <w:spacing w:line="360" w:lineRule="auto"/>
              <w:jc w:val="center"/>
              <w:rPr>
                <w:color w:val="auto"/>
                <w:sz w:val="21"/>
                <w:szCs w:val="21"/>
                <w:highlight w:val="none"/>
              </w:rPr>
            </w:pPr>
            <w:r>
              <w:rPr>
                <w:rFonts w:hint="eastAsia" w:ascii="宋体" w:hAnsi="宋体"/>
                <w:color w:val="auto"/>
                <w:kern w:val="2"/>
                <w:sz w:val="21"/>
                <w:szCs w:val="21"/>
                <w:highlight w:val="none"/>
              </w:rPr>
              <w:t>磋商范围</w:t>
            </w:r>
          </w:p>
        </w:tc>
        <w:tc>
          <w:tcPr>
            <w:tcW w:w="6655" w:type="dxa"/>
            <w:vAlign w:val="center"/>
          </w:tcPr>
          <w:p w14:paraId="0D3B35B6">
            <w:pPr>
              <w:spacing w:line="360" w:lineRule="auto"/>
              <w:rPr>
                <w:color w:val="auto"/>
                <w:sz w:val="21"/>
                <w:szCs w:val="21"/>
                <w:highlight w:val="none"/>
              </w:rPr>
            </w:pPr>
            <w:r>
              <w:rPr>
                <w:rFonts w:hint="eastAsia" w:ascii="宋体" w:hAnsi="宋体"/>
                <w:color w:val="auto"/>
                <w:kern w:val="2"/>
                <w:sz w:val="21"/>
                <w:szCs w:val="21"/>
                <w:highlight w:val="none"/>
              </w:rPr>
              <w:t>详见第一章 竞争性磋商公告</w:t>
            </w:r>
          </w:p>
        </w:tc>
      </w:tr>
      <w:tr w14:paraId="41298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86" w:type="dxa"/>
            <w:vAlign w:val="center"/>
          </w:tcPr>
          <w:p w14:paraId="0AAA3D00">
            <w:pPr>
              <w:spacing w:line="360" w:lineRule="auto"/>
              <w:jc w:val="center"/>
              <w:rPr>
                <w:color w:val="auto"/>
                <w:sz w:val="21"/>
                <w:szCs w:val="21"/>
                <w:highlight w:val="none"/>
              </w:rPr>
            </w:pPr>
            <w:r>
              <w:rPr>
                <w:rFonts w:hint="eastAsia"/>
                <w:color w:val="auto"/>
                <w:sz w:val="21"/>
                <w:szCs w:val="21"/>
                <w:highlight w:val="none"/>
              </w:rPr>
              <w:t>7</w:t>
            </w:r>
          </w:p>
        </w:tc>
        <w:tc>
          <w:tcPr>
            <w:tcW w:w="2368" w:type="dxa"/>
            <w:vAlign w:val="center"/>
          </w:tcPr>
          <w:p w14:paraId="3FF2DD86">
            <w:pPr>
              <w:spacing w:line="360" w:lineRule="auto"/>
              <w:jc w:val="center"/>
              <w:rPr>
                <w:b/>
                <w:color w:val="auto"/>
                <w:sz w:val="21"/>
                <w:szCs w:val="21"/>
                <w:highlight w:val="none"/>
              </w:rPr>
            </w:pPr>
            <w:r>
              <w:rPr>
                <w:rFonts w:hint="eastAsia" w:ascii="宋体" w:hAnsi="宋体"/>
                <w:color w:val="auto"/>
                <w:kern w:val="2"/>
                <w:sz w:val="21"/>
                <w:szCs w:val="21"/>
                <w:highlight w:val="none"/>
              </w:rPr>
              <w:t>服务周期</w:t>
            </w:r>
          </w:p>
        </w:tc>
        <w:tc>
          <w:tcPr>
            <w:tcW w:w="6655" w:type="dxa"/>
            <w:vAlign w:val="center"/>
          </w:tcPr>
          <w:p w14:paraId="6329442E">
            <w:pPr>
              <w:spacing w:line="360" w:lineRule="auto"/>
              <w:rPr>
                <w:color w:val="auto"/>
                <w:sz w:val="21"/>
                <w:szCs w:val="22"/>
                <w:highlight w:val="none"/>
              </w:rPr>
            </w:pPr>
            <w:r>
              <w:rPr>
                <w:rFonts w:hint="eastAsia" w:ascii="宋体" w:hAnsi="宋体"/>
                <w:color w:val="auto"/>
                <w:kern w:val="2"/>
                <w:sz w:val="21"/>
                <w:szCs w:val="21"/>
                <w:highlight w:val="none"/>
              </w:rPr>
              <w:t>详见第一章 竞争性磋商公告</w:t>
            </w:r>
          </w:p>
        </w:tc>
      </w:tr>
      <w:tr w14:paraId="3C351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86" w:type="dxa"/>
            <w:vAlign w:val="center"/>
          </w:tcPr>
          <w:p w14:paraId="70E53CD2">
            <w:pPr>
              <w:spacing w:line="360" w:lineRule="auto"/>
              <w:jc w:val="center"/>
              <w:rPr>
                <w:color w:val="auto"/>
                <w:sz w:val="21"/>
                <w:szCs w:val="21"/>
                <w:highlight w:val="none"/>
              </w:rPr>
            </w:pPr>
            <w:r>
              <w:rPr>
                <w:rFonts w:hint="eastAsia"/>
                <w:color w:val="auto"/>
                <w:sz w:val="21"/>
                <w:szCs w:val="21"/>
                <w:highlight w:val="none"/>
              </w:rPr>
              <w:t>8</w:t>
            </w:r>
          </w:p>
        </w:tc>
        <w:tc>
          <w:tcPr>
            <w:tcW w:w="2368" w:type="dxa"/>
            <w:vAlign w:val="center"/>
          </w:tcPr>
          <w:p w14:paraId="255B2B78">
            <w:pPr>
              <w:spacing w:line="360" w:lineRule="auto"/>
              <w:jc w:val="center"/>
              <w:rPr>
                <w:color w:val="auto"/>
                <w:sz w:val="21"/>
                <w:szCs w:val="21"/>
                <w:highlight w:val="none"/>
              </w:rPr>
            </w:pPr>
            <w:r>
              <w:rPr>
                <w:rFonts w:hint="eastAsia" w:ascii="宋体" w:hAnsi="宋体"/>
                <w:color w:val="auto"/>
                <w:kern w:val="2"/>
                <w:sz w:val="21"/>
                <w:szCs w:val="21"/>
                <w:highlight w:val="none"/>
              </w:rPr>
              <w:t>项目地点</w:t>
            </w:r>
          </w:p>
        </w:tc>
        <w:tc>
          <w:tcPr>
            <w:tcW w:w="6655" w:type="dxa"/>
            <w:vAlign w:val="center"/>
          </w:tcPr>
          <w:p w14:paraId="359F52B7">
            <w:pPr>
              <w:spacing w:line="360" w:lineRule="auto"/>
              <w:rPr>
                <w:color w:val="auto"/>
                <w:sz w:val="21"/>
                <w:szCs w:val="21"/>
                <w:highlight w:val="none"/>
              </w:rPr>
            </w:pPr>
            <w:r>
              <w:rPr>
                <w:rFonts w:hint="eastAsia" w:ascii="宋体" w:hAnsi="宋体"/>
                <w:color w:val="auto"/>
                <w:kern w:val="2"/>
                <w:sz w:val="21"/>
                <w:szCs w:val="21"/>
                <w:highlight w:val="none"/>
              </w:rPr>
              <w:t>详见第一章 竞争性磋商公告</w:t>
            </w:r>
          </w:p>
        </w:tc>
      </w:tr>
      <w:tr w14:paraId="2A2CA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86" w:type="dxa"/>
            <w:vAlign w:val="center"/>
          </w:tcPr>
          <w:p w14:paraId="5B07C83A">
            <w:pPr>
              <w:spacing w:line="360" w:lineRule="auto"/>
              <w:jc w:val="center"/>
              <w:rPr>
                <w:color w:val="auto"/>
                <w:sz w:val="21"/>
                <w:szCs w:val="21"/>
                <w:highlight w:val="none"/>
              </w:rPr>
            </w:pPr>
            <w:r>
              <w:rPr>
                <w:rFonts w:hint="eastAsia"/>
                <w:color w:val="auto"/>
                <w:sz w:val="21"/>
                <w:szCs w:val="21"/>
                <w:highlight w:val="none"/>
              </w:rPr>
              <w:t>9</w:t>
            </w:r>
          </w:p>
        </w:tc>
        <w:tc>
          <w:tcPr>
            <w:tcW w:w="2368" w:type="dxa"/>
            <w:vAlign w:val="center"/>
          </w:tcPr>
          <w:p w14:paraId="54993E86">
            <w:pPr>
              <w:spacing w:line="360" w:lineRule="auto"/>
              <w:jc w:val="center"/>
              <w:rPr>
                <w:color w:val="auto"/>
                <w:sz w:val="21"/>
                <w:szCs w:val="21"/>
                <w:highlight w:val="none"/>
              </w:rPr>
            </w:pPr>
            <w:r>
              <w:rPr>
                <w:rFonts w:hint="eastAsia" w:ascii="宋体" w:hAnsi="宋体"/>
                <w:color w:val="auto"/>
                <w:kern w:val="2"/>
                <w:sz w:val="21"/>
                <w:szCs w:val="21"/>
                <w:highlight w:val="none"/>
              </w:rPr>
              <w:t>质量要求</w:t>
            </w:r>
          </w:p>
        </w:tc>
        <w:tc>
          <w:tcPr>
            <w:tcW w:w="6655" w:type="dxa"/>
            <w:vAlign w:val="center"/>
          </w:tcPr>
          <w:p w14:paraId="16007246">
            <w:pPr>
              <w:spacing w:line="360" w:lineRule="auto"/>
              <w:rPr>
                <w:color w:val="auto"/>
                <w:sz w:val="21"/>
                <w:szCs w:val="22"/>
                <w:highlight w:val="none"/>
              </w:rPr>
            </w:pPr>
            <w:r>
              <w:rPr>
                <w:rFonts w:hint="eastAsia" w:ascii="宋体" w:hAnsi="宋体"/>
                <w:color w:val="auto"/>
                <w:kern w:val="2"/>
                <w:sz w:val="21"/>
                <w:szCs w:val="21"/>
                <w:highlight w:val="none"/>
              </w:rPr>
              <w:t>详见第一章 竞争性磋商公告</w:t>
            </w:r>
          </w:p>
        </w:tc>
      </w:tr>
      <w:tr w14:paraId="0CC3A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86" w:type="dxa"/>
            <w:vAlign w:val="center"/>
          </w:tcPr>
          <w:p w14:paraId="0E30D195">
            <w:pPr>
              <w:spacing w:line="360" w:lineRule="auto"/>
              <w:jc w:val="center"/>
              <w:rPr>
                <w:color w:val="auto"/>
                <w:sz w:val="21"/>
                <w:szCs w:val="21"/>
                <w:highlight w:val="none"/>
              </w:rPr>
            </w:pPr>
            <w:r>
              <w:rPr>
                <w:rFonts w:hint="eastAsia"/>
                <w:color w:val="auto"/>
                <w:sz w:val="21"/>
                <w:szCs w:val="21"/>
                <w:highlight w:val="none"/>
              </w:rPr>
              <w:t>10</w:t>
            </w:r>
          </w:p>
        </w:tc>
        <w:tc>
          <w:tcPr>
            <w:tcW w:w="2368" w:type="dxa"/>
            <w:vAlign w:val="center"/>
          </w:tcPr>
          <w:p w14:paraId="01E5041E">
            <w:pPr>
              <w:spacing w:line="360" w:lineRule="auto"/>
              <w:jc w:val="center"/>
              <w:rPr>
                <w:color w:val="auto"/>
                <w:sz w:val="21"/>
                <w:szCs w:val="21"/>
                <w:highlight w:val="none"/>
              </w:rPr>
            </w:pPr>
            <w:r>
              <w:rPr>
                <w:rFonts w:hint="eastAsia" w:ascii="宋体" w:hAnsi="宋体"/>
                <w:color w:val="auto"/>
                <w:kern w:val="2"/>
                <w:sz w:val="21"/>
                <w:szCs w:val="21"/>
                <w:highlight w:val="none"/>
              </w:rPr>
              <w:t>项目规模</w:t>
            </w:r>
          </w:p>
        </w:tc>
        <w:tc>
          <w:tcPr>
            <w:tcW w:w="6655" w:type="dxa"/>
            <w:vAlign w:val="center"/>
          </w:tcPr>
          <w:p w14:paraId="49DBB536">
            <w:pPr>
              <w:spacing w:line="360" w:lineRule="auto"/>
              <w:rPr>
                <w:color w:val="auto"/>
                <w:sz w:val="21"/>
                <w:szCs w:val="21"/>
                <w:highlight w:val="none"/>
              </w:rPr>
            </w:pPr>
            <w:r>
              <w:rPr>
                <w:rFonts w:hint="eastAsia" w:ascii="宋体" w:hAnsi="宋体"/>
                <w:color w:val="auto"/>
                <w:kern w:val="2"/>
                <w:sz w:val="21"/>
                <w:szCs w:val="21"/>
                <w:highlight w:val="none"/>
              </w:rPr>
              <w:t>详见第一章 竞争性磋商公告</w:t>
            </w:r>
          </w:p>
        </w:tc>
      </w:tr>
      <w:tr w14:paraId="74BF6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886" w:type="dxa"/>
            <w:vAlign w:val="center"/>
          </w:tcPr>
          <w:p w14:paraId="49350B9A">
            <w:pPr>
              <w:spacing w:line="360" w:lineRule="auto"/>
              <w:jc w:val="center"/>
              <w:rPr>
                <w:color w:val="auto"/>
                <w:sz w:val="21"/>
                <w:szCs w:val="21"/>
                <w:highlight w:val="none"/>
              </w:rPr>
            </w:pPr>
            <w:r>
              <w:rPr>
                <w:rFonts w:hint="eastAsia"/>
                <w:color w:val="auto"/>
                <w:sz w:val="21"/>
                <w:szCs w:val="21"/>
                <w:highlight w:val="none"/>
              </w:rPr>
              <w:t>11</w:t>
            </w:r>
          </w:p>
        </w:tc>
        <w:tc>
          <w:tcPr>
            <w:tcW w:w="2368" w:type="dxa"/>
            <w:vAlign w:val="center"/>
          </w:tcPr>
          <w:p w14:paraId="130AFBEC">
            <w:pPr>
              <w:spacing w:line="360" w:lineRule="auto"/>
              <w:jc w:val="center"/>
              <w:rPr>
                <w:color w:val="auto"/>
                <w:sz w:val="21"/>
                <w:szCs w:val="21"/>
                <w:highlight w:val="none"/>
              </w:rPr>
            </w:pPr>
            <w:r>
              <w:rPr>
                <w:rFonts w:hint="eastAsia"/>
                <w:color w:val="auto"/>
                <w:sz w:val="21"/>
                <w:szCs w:val="21"/>
                <w:highlight w:val="none"/>
              </w:rPr>
              <w:t>标包划分</w:t>
            </w:r>
          </w:p>
        </w:tc>
        <w:tc>
          <w:tcPr>
            <w:tcW w:w="6655" w:type="dxa"/>
            <w:vAlign w:val="center"/>
          </w:tcPr>
          <w:p w14:paraId="276F5292">
            <w:pPr>
              <w:spacing w:line="360" w:lineRule="auto"/>
              <w:rPr>
                <w:color w:val="auto"/>
                <w:sz w:val="21"/>
                <w:szCs w:val="21"/>
                <w:highlight w:val="none"/>
              </w:rPr>
            </w:pPr>
            <w:r>
              <w:rPr>
                <w:rFonts w:hint="eastAsia" w:ascii="宋体" w:hAnsi="宋体"/>
                <w:color w:val="auto"/>
                <w:kern w:val="2"/>
                <w:sz w:val="21"/>
                <w:szCs w:val="21"/>
                <w:highlight w:val="none"/>
              </w:rPr>
              <w:t>详见第一章 竞争性磋商公告</w:t>
            </w:r>
          </w:p>
        </w:tc>
      </w:tr>
      <w:tr w14:paraId="13A3C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886" w:type="dxa"/>
            <w:vAlign w:val="center"/>
          </w:tcPr>
          <w:p w14:paraId="6E432C7B">
            <w:pPr>
              <w:spacing w:line="360" w:lineRule="auto"/>
              <w:jc w:val="center"/>
              <w:rPr>
                <w:color w:val="auto"/>
                <w:sz w:val="21"/>
                <w:szCs w:val="21"/>
                <w:highlight w:val="none"/>
              </w:rPr>
            </w:pPr>
            <w:r>
              <w:rPr>
                <w:rFonts w:hint="eastAsia"/>
                <w:color w:val="auto"/>
                <w:sz w:val="21"/>
                <w:szCs w:val="21"/>
                <w:highlight w:val="none"/>
              </w:rPr>
              <w:t>12</w:t>
            </w:r>
          </w:p>
        </w:tc>
        <w:tc>
          <w:tcPr>
            <w:tcW w:w="2368" w:type="dxa"/>
            <w:vAlign w:val="center"/>
          </w:tcPr>
          <w:p w14:paraId="220E6E7C">
            <w:pPr>
              <w:spacing w:line="360" w:lineRule="auto"/>
              <w:jc w:val="center"/>
              <w:rPr>
                <w:color w:val="auto"/>
                <w:sz w:val="21"/>
                <w:szCs w:val="21"/>
                <w:highlight w:val="none"/>
              </w:rPr>
            </w:pPr>
            <w:r>
              <w:rPr>
                <w:rFonts w:hint="eastAsia"/>
                <w:color w:val="auto"/>
                <w:sz w:val="21"/>
                <w:szCs w:val="21"/>
                <w:highlight w:val="none"/>
              </w:rPr>
              <w:t>供应商资格要求</w:t>
            </w:r>
          </w:p>
        </w:tc>
        <w:tc>
          <w:tcPr>
            <w:tcW w:w="6655" w:type="dxa"/>
            <w:vAlign w:val="center"/>
          </w:tcPr>
          <w:p w14:paraId="1EB15202">
            <w:pPr>
              <w:spacing w:line="360" w:lineRule="auto"/>
              <w:rPr>
                <w:color w:val="auto"/>
                <w:sz w:val="21"/>
                <w:szCs w:val="21"/>
                <w:highlight w:val="none"/>
              </w:rPr>
            </w:pPr>
            <w:r>
              <w:rPr>
                <w:rFonts w:hint="eastAsia" w:ascii="宋体" w:hAnsi="宋体"/>
                <w:color w:val="auto"/>
                <w:kern w:val="2"/>
                <w:sz w:val="21"/>
                <w:szCs w:val="21"/>
                <w:highlight w:val="none"/>
              </w:rPr>
              <w:t>详见第一章 竞争性磋商公告</w:t>
            </w:r>
          </w:p>
        </w:tc>
      </w:tr>
      <w:tr w14:paraId="7E4D3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886" w:type="dxa"/>
            <w:vAlign w:val="center"/>
          </w:tcPr>
          <w:p w14:paraId="0DA51DA9">
            <w:pPr>
              <w:spacing w:line="360" w:lineRule="auto"/>
              <w:jc w:val="center"/>
              <w:rPr>
                <w:color w:val="auto"/>
                <w:sz w:val="21"/>
                <w:szCs w:val="21"/>
                <w:highlight w:val="none"/>
              </w:rPr>
            </w:pPr>
            <w:r>
              <w:rPr>
                <w:rFonts w:hint="eastAsia"/>
                <w:color w:val="auto"/>
                <w:sz w:val="21"/>
                <w:szCs w:val="21"/>
                <w:highlight w:val="none"/>
              </w:rPr>
              <w:t>13</w:t>
            </w:r>
          </w:p>
        </w:tc>
        <w:tc>
          <w:tcPr>
            <w:tcW w:w="2368" w:type="dxa"/>
            <w:vAlign w:val="center"/>
          </w:tcPr>
          <w:p w14:paraId="126F98F1">
            <w:pPr>
              <w:spacing w:line="360" w:lineRule="auto"/>
              <w:jc w:val="center"/>
              <w:rPr>
                <w:color w:val="auto"/>
                <w:sz w:val="21"/>
                <w:szCs w:val="21"/>
                <w:highlight w:val="none"/>
              </w:rPr>
            </w:pPr>
            <w:r>
              <w:rPr>
                <w:rFonts w:hint="eastAsia"/>
                <w:color w:val="auto"/>
                <w:sz w:val="21"/>
                <w:szCs w:val="21"/>
                <w:highlight w:val="none"/>
              </w:rPr>
              <w:t>是否接受联合体投标</w:t>
            </w:r>
          </w:p>
        </w:tc>
        <w:tc>
          <w:tcPr>
            <w:tcW w:w="6655" w:type="dxa"/>
            <w:vAlign w:val="center"/>
          </w:tcPr>
          <w:p w14:paraId="5E4B0009">
            <w:pPr>
              <w:spacing w:line="360" w:lineRule="auto"/>
              <w:rPr>
                <w:color w:val="auto"/>
                <w:sz w:val="21"/>
                <w:szCs w:val="21"/>
                <w:highlight w:val="none"/>
              </w:rPr>
            </w:pPr>
            <w:r>
              <w:rPr>
                <w:rFonts w:hint="eastAsia"/>
                <w:color w:val="auto"/>
                <w:sz w:val="21"/>
                <w:szCs w:val="21"/>
                <w:highlight w:val="none"/>
              </w:rPr>
              <w:t>不接受。</w:t>
            </w:r>
          </w:p>
        </w:tc>
      </w:tr>
      <w:tr w14:paraId="2B906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886" w:type="dxa"/>
            <w:vAlign w:val="center"/>
          </w:tcPr>
          <w:p w14:paraId="72A02B7D">
            <w:pPr>
              <w:spacing w:line="360" w:lineRule="auto"/>
              <w:jc w:val="center"/>
              <w:rPr>
                <w:color w:val="auto"/>
                <w:highlight w:val="none"/>
              </w:rPr>
            </w:pPr>
            <w:r>
              <w:rPr>
                <w:rFonts w:hint="eastAsia"/>
                <w:color w:val="auto"/>
                <w:sz w:val="21"/>
                <w:szCs w:val="21"/>
                <w:highlight w:val="none"/>
              </w:rPr>
              <w:t>14</w:t>
            </w:r>
          </w:p>
        </w:tc>
        <w:tc>
          <w:tcPr>
            <w:tcW w:w="2368" w:type="dxa"/>
            <w:vAlign w:val="center"/>
          </w:tcPr>
          <w:p w14:paraId="05B1487C">
            <w:pPr>
              <w:spacing w:line="360" w:lineRule="auto"/>
              <w:jc w:val="center"/>
              <w:rPr>
                <w:color w:val="auto"/>
                <w:sz w:val="21"/>
                <w:szCs w:val="21"/>
                <w:highlight w:val="none"/>
              </w:rPr>
            </w:pPr>
            <w:r>
              <w:rPr>
                <w:rFonts w:hint="eastAsia"/>
                <w:color w:val="auto"/>
                <w:sz w:val="21"/>
                <w:szCs w:val="21"/>
                <w:highlight w:val="none"/>
              </w:rPr>
              <w:t>供应商提出问题的截止时间</w:t>
            </w:r>
          </w:p>
        </w:tc>
        <w:tc>
          <w:tcPr>
            <w:tcW w:w="6655" w:type="dxa"/>
            <w:vAlign w:val="center"/>
          </w:tcPr>
          <w:p w14:paraId="7D366A13">
            <w:pPr>
              <w:spacing w:line="360" w:lineRule="auto"/>
              <w:rPr>
                <w:rFonts w:hint="eastAsia" w:ascii="宋体" w:hAnsi="宋体"/>
                <w:color w:val="auto"/>
                <w:sz w:val="21"/>
                <w:szCs w:val="21"/>
                <w:highlight w:val="none"/>
              </w:rPr>
            </w:pPr>
            <w:r>
              <w:rPr>
                <w:rFonts w:hint="eastAsia"/>
                <w:color w:val="auto"/>
                <w:sz w:val="21"/>
                <w:szCs w:val="21"/>
                <w:highlight w:val="none"/>
              </w:rPr>
              <w:t>竞争性</w:t>
            </w:r>
            <w:r>
              <w:rPr>
                <w:rFonts w:hint="eastAsia" w:ascii="宋体" w:hAnsi="宋体"/>
                <w:color w:val="auto"/>
                <w:sz w:val="21"/>
                <w:szCs w:val="21"/>
                <w:highlight w:val="none"/>
              </w:rPr>
              <w:t>磋商响应文件递交截止时间前5日。</w:t>
            </w:r>
          </w:p>
        </w:tc>
      </w:tr>
      <w:tr w14:paraId="06365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0" w:hRule="atLeast"/>
          <w:jc w:val="center"/>
        </w:trPr>
        <w:tc>
          <w:tcPr>
            <w:tcW w:w="886" w:type="dxa"/>
            <w:vAlign w:val="center"/>
          </w:tcPr>
          <w:p w14:paraId="5CF8417C">
            <w:pPr>
              <w:spacing w:line="360" w:lineRule="auto"/>
              <w:jc w:val="center"/>
              <w:rPr>
                <w:color w:val="auto"/>
                <w:sz w:val="21"/>
                <w:szCs w:val="21"/>
                <w:highlight w:val="none"/>
              </w:rPr>
            </w:pPr>
            <w:r>
              <w:rPr>
                <w:rFonts w:hint="eastAsia"/>
                <w:color w:val="auto"/>
                <w:sz w:val="21"/>
                <w:szCs w:val="21"/>
                <w:highlight w:val="none"/>
              </w:rPr>
              <w:t>15</w:t>
            </w:r>
          </w:p>
        </w:tc>
        <w:tc>
          <w:tcPr>
            <w:tcW w:w="2368" w:type="dxa"/>
            <w:vAlign w:val="center"/>
          </w:tcPr>
          <w:p w14:paraId="3AF52CC8">
            <w:pPr>
              <w:spacing w:line="360" w:lineRule="auto"/>
              <w:jc w:val="center"/>
              <w:rPr>
                <w:color w:val="auto"/>
                <w:sz w:val="21"/>
                <w:szCs w:val="21"/>
                <w:highlight w:val="none"/>
              </w:rPr>
            </w:pPr>
            <w:r>
              <w:rPr>
                <w:rFonts w:hint="eastAsia"/>
                <w:color w:val="auto"/>
                <w:sz w:val="21"/>
                <w:szCs w:val="21"/>
                <w:highlight w:val="none"/>
              </w:rPr>
              <w:t>发包人澄清或者修改的时间和方法</w:t>
            </w:r>
          </w:p>
        </w:tc>
        <w:tc>
          <w:tcPr>
            <w:tcW w:w="6655" w:type="dxa"/>
            <w:vAlign w:val="center"/>
          </w:tcPr>
          <w:p w14:paraId="6AC3BC5C">
            <w:pPr>
              <w:spacing w:line="360" w:lineRule="auto"/>
              <w:rPr>
                <w:rFonts w:hint="eastAsia" w:ascii="宋体" w:hAnsi="宋体"/>
                <w:color w:val="auto"/>
                <w:sz w:val="21"/>
                <w:szCs w:val="21"/>
                <w:highlight w:val="none"/>
              </w:rPr>
            </w:pPr>
            <w:r>
              <w:rPr>
                <w:rFonts w:hint="eastAsia" w:ascii="宋体" w:hAnsi="宋体"/>
                <w:color w:val="auto"/>
                <w:sz w:val="21"/>
                <w:szCs w:val="21"/>
                <w:highlight w:val="none"/>
              </w:rPr>
              <w:t>竞争性磋商响应文件递交截止时间至少5日前，并以书面形式向获取竞争性磋商文件的潜在供应商发送。</w:t>
            </w:r>
          </w:p>
          <w:p w14:paraId="721E0F1A">
            <w:pPr>
              <w:spacing w:line="360" w:lineRule="auto"/>
              <w:rPr>
                <w:rFonts w:hint="eastAsia" w:ascii="宋体" w:hAnsi="宋体"/>
                <w:color w:val="auto"/>
                <w:sz w:val="21"/>
                <w:szCs w:val="21"/>
                <w:highlight w:val="none"/>
              </w:rPr>
            </w:pPr>
            <w:r>
              <w:rPr>
                <w:rFonts w:hint="eastAsia" w:ascii="宋体" w:hAnsi="宋体"/>
                <w:color w:val="auto"/>
                <w:sz w:val="21"/>
                <w:szCs w:val="21"/>
                <w:highlight w:val="none"/>
              </w:rPr>
              <w:t>所有获取了竞争性磋商文件的潜在供应商凭企业身份认证数字证书（CA）查看澄清内容，该澄清或者修改的内容作为竞争性磋商文件的组成部分，对双方均具有约束力。</w:t>
            </w:r>
          </w:p>
        </w:tc>
      </w:tr>
      <w:tr w14:paraId="5668C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886" w:type="dxa"/>
            <w:vAlign w:val="center"/>
          </w:tcPr>
          <w:p w14:paraId="6DDCAB15">
            <w:pPr>
              <w:spacing w:line="360" w:lineRule="auto"/>
              <w:jc w:val="center"/>
              <w:rPr>
                <w:color w:val="auto"/>
                <w:sz w:val="21"/>
                <w:szCs w:val="21"/>
                <w:highlight w:val="none"/>
              </w:rPr>
            </w:pPr>
            <w:r>
              <w:rPr>
                <w:rFonts w:hint="eastAsia"/>
                <w:color w:val="auto"/>
                <w:sz w:val="21"/>
                <w:szCs w:val="21"/>
                <w:highlight w:val="none"/>
              </w:rPr>
              <w:t>16</w:t>
            </w:r>
          </w:p>
        </w:tc>
        <w:tc>
          <w:tcPr>
            <w:tcW w:w="2368" w:type="dxa"/>
            <w:vAlign w:val="center"/>
          </w:tcPr>
          <w:p w14:paraId="459C45F5">
            <w:pPr>
              <w:spacing w:line="360" w:lineRule="auto"/>
              <w:jc w:val="center"/>
              <w:rPr>
                <w:color w:val="auto"/>
                <w:sz w:val="21"/>
                <w:szCs w:val="21"/>
                <w:highlight w:val="none"/>
              </w:rPr>
            </w:pPr>
            <w:r>
              <w:rPr>
                <w:rFonts w:hint="eastAsia"/>
                <w:color w:val="auto"/>
                <w:sz w:val="21"/>
                <w:szCs w:val="21"/>
                <w:highlight w:val="none"/>
              </w:rPr>
              <w:t>是否允许分包</w:t>
            </w:r>
          </w:p>
        </w:tc>
        <w:tc>
          <w:tcPr>
            <w:tcW w:w="6655" w:type="dxa"/>
            <w:vAlign w:val="center"/>
          </w:tcPr>
          <w:p w14:paraId="17348F43">
            <w:pPr>
              <w:spacing w:line="360" w:lineRule="auto"/>
              <w:rPr>
                <w:color w:val="auto"/>
                <w:sz w:val="21"/>
                <w:szCs w:val="21"/>
                <w:highlight w:val="none"/>
              </w:rPr>
            </w:pPr>
            <w:r>
              <w:rPr>
                <w:rFonts w:hint="eastAsia"/>
                <w:color w:val="auto"/>
                <w:sz w:val="21"/>
                <w:szCs w:val="21"/>
                <w:highlight w:val="none"/>
              </w:rPr>
              <w:t>不允许。</w:t>
            </w:r>
          </w:p>
        </w:tc>
      </w:tr>
      <w:tr w14:paraId="35AF9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886" w:type="dxa"/>
            <w:vAlign w:val="center"/>
          </w:tcPr>
          <w:p w14:paraId="0D958296">
            <w:pPr>
              <w:spacing w:line="360" w:lineRule="auto"/>
              <w:jc w:val="center"/>
              <w:rPr>
                <w:color w:val="auto"/>
                <w:sz w:val="21"/>
                <w:szCs w:val="21"/>
                <w:highlight w:val="none"/>
              </w:rPr>
            </w:pPr>
            <w:r>
              <w:rPr>
                <w:rFonts w:hint="eastAsia"/>
                <w:color w:val="auto"/>
                <w:sz w:val="21"/>
                <w:szCs w:val="21"/>
                <w:highlight w:val="none"/>
              </w:rPr>
              <w:t>17</w:t>
            </w:r>
          </w:p>
        </w:tc>
        <w:tc>
          <w:tcPr>
            <w:tcW w:w="2368" w:type="dxa"/>
            <w:vAlign w:val="center"/>
          </w:tcPr>
          <w:p w14:paraId="3BBF7289">
            <w:pPr>
              <w:spacing w:line="360" w:lineRule="auto"/>
              <w:jc w:val="center"/>
              <w:rPr>
                <w:color w:val="auto"/>
                <w:sz w:val="21"/>
                <w:szCs w:val="21"/>
                <w:highlight w:val="none"/>
              </w:rPr>
            </w:pPr>
            <w:r>
              <w:rPr>
                <w:rFonts w:hint="eastAsia"/>
                <w:color w:val="auto"/>
                <w:sz w:val="21"/>
                <w:szCs w:val="21"/>
                <w:highlight w:val="none"/>
              </w:rPr>
              <w:t>偏离</w:t>
            </w:r>
          </w:p>
        </w:tc>
        <w:tc>
          <w:tcPr>
            <w:tcW w:w="6655" w:type="dxa"/>
            <w:vAlign w:val="center"/>
          </w:tcPr>
          <w:p w14:paraId="3A99B488">
            <w:pPr>
              <w:spacing w:line="360" w:lineRule="auto"/>
              <w:rPr>
                <w:color w:val="auto"/>
                <w:sz w:val="21"/>
                <w:szCs w:val="21"/>
                <w:highlight w:val="none"/>
              </w:rPr>
            </w:pPr>
            <w:r>
              <w:rPr>
                <w:rFonts w:hint="eastAsia"/>
                <w:color w:val="auto"/>
                <w:sz w:val="21"/>
                <w:szCs w:val="21"/>
                <w:highlight w:val="none"/>
              </w:rPr>
              <w:t>允许。可在竞争性磋商文件要求的条件上，作出正偏离的承诺（如服务质量标准提高、处罚额度增大等）。</w:t>
            </w:r>
          </w:p>
        </w:tc>
      </w:tr>
      <w:tr w14:paraId="74438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jc w:val="center"/>
        </w:trPr>
        <w:tc>
          <w:tcPr>
            <w:tcW w:w="886" w:type="dxa"/>
            <w:vAlign w:val="center"/>
          </w:tcPr>
          <w:p w14:paraId="2C943009">
            <w:pPr>
              <w:spacing w:line="360" w:lineRule="auto"/>
              <w:jc w:val="center"/>
              <w:rPr>
                <w:color w:val="auto"/>
                <w:sz w:val="21"/>
                <w:szCs w:val="21"/>
                <w:highlight w:val="none"/>
              </w:rPr>
            </w:pPr>
            <w:r>
              <w:rPr>
                <w:rFonts w:hint="eastAsia"/>
                <w:color w:val="auto"/>
                <w:sz w:val="21"/>
                <w:szCs w:val="21"/>
                <w:highlight w:val="none"/>
              </w:rPr>
              <w:t>18</w:t>
            </w:r>
          </w:p>
        </w:tc>
        <w:tc>
          <w:tcPr>
            <w:tcW w:w="2368" w:type="dxa"/>
            <w:vAlign w:val="center"/>
          </w:tcPr>
          <w:p w14:paraId="4C039732">
            <w:pPr>
              <w:spacing w:line="360" w:lineRule="auto"/>
              <w:jc w:val="center"/>
              <w:rPr>
                <w:color w:val="auto"/>
                <w:sz w:val="21"/>
                <w:szCs w:val="21"/>
                <w:highlight w:val="none"/>
              </w:rPr>
            </w:pPr>
            <w:r>
              <w:rPr>
                <w:rFonts w:hint="eastAsia" w:ascii="宋体" w:hAnsi="宋体"/>
                <w:color w:val="auto"/>
                <w:sz w:val="21"/>
                <w:szCs w:val="21"/>
                <w:highlight w:val="none"/>
              </w:rPr>
              <w:t>供应商要求澄清竞争性磋商文件的截止时间和方法</w:t>
            </w:r>
          </w:p>
        </w:tc>
        <w:tc>
          <w:tcPr>
            <w:tcW w:w="6655" w:type="dxa"/>
            <w:vAlign w:val="center"/>
          </w:tcPr>
          <w:p w14:paraId="40CC2F68">
            <w:pPr>
              <w:spacing w:line="360" w:lineRule="auto"/>
              <w:rPr>
                <w:rFonts w:hint="eastAsia" w:ascii="宋体" w:hAnsi="宋体"/>
                <w:color w:val="auto"/>
                <w:sz w:val="21"/>
                <w:szCs w:val="21"/>
                <w:highlight w:val="none"/>
              </w:rPr>
            </w:pPr>
            <w:r>
              <w:rPr>
                <w:rFonts w:hint="eastAsia" w:ascii="宋体" w:hAnsi="宋体"/>
                <w:color w:val="auto"/>
                <w:sz w:val="21"/>
                <w:szCs w:val="21"/>
                <w:highlight w:val="none"/>
              </w:rPr>
              <w:t>竞争性磋商截止时间前，在阳光臻达电子招投标交易平台（网址：https://dzztb.ygzdztb.com/)提交，凭企业身份认证数字证书（CA）查看澄清内容。</w:t>
            </w:r>
          </w:p>
        </w:tc>
      </w:tr>
      <w:tr w14:paraId="24221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1" w:hRule="atLeast"/>
          <w:jc w:val="center"/>
        </w:trPr>
        <w:tc>
          <w:tcPr>
            <w:tcW w:w="886" w:type="dxa"/>
            <w:vAlign w:val="center"/>
          </w:tcPr>
          <w:p w14:paraId="5D5B7AE8">
            <w:pPr>
              <w:spacing w:line="360" w:lineRule="auto"/>
              <w:jc w:val="center"/>
              <w:rPr>
                <w:color w:val="auto"/>
                <w:sz w:val="21"/>
                <w:szCs w:val="21"/>
                <w:highlight w:val="none"/>
              </w:rPr>
            </w:pPr>
            <w:r>
              <w:rPr>
                <w:rFonts w:hint="eastAsia"/>
                <w:color w:val="auto"/>
                <w:sz w:val="21"/>
                <w:szCs w:val="21"/>
                <w:highlight w:val="none"/>
              </w:rPr>
              <w:t>19</w:t>
            </w:r>
          </w:p>
        </w:tc>
        <w:tc>
          <w:tcPr>
            <w:tcW w:w="2368" w:type="dxa"/>
            <w:vAlign w:val="center"/>
          </w:tcPr>
          <w:p w14:paraId="1986F8F7">
            <w:pPr>
              <w:spacing w:line="360" w:lineRule="auto"/>
              <w:jc w:val="center"/>
              <w:rPr>
                <w:color w:val="auto"/>
                <w:sz w:val="21"/>
                <w:szCs w:val="21"/>
                <w:highlight w:val="none"/>
              </w:rPr>
            </w:pPr>
            <w:r>
              <w:rPr>
                <w:rFonts w:hint="eastAsia"/>
                <w:color w:val="auto"/>
                <w:sz w:val="21"/>
                <w:szCs w:val="21"/>
                <w:highlight w:val="none"/>
              </w:rPr>
              <w:t>竞争性磋商响应文件递交截止时间及地址</w:t>
            </w:r>
          </w:p>
        </w:tc>
        <w:tc>
          <w:tcPr>
            <w:tcW w:w="6655" w:type="dxa"/>
            <w:vAlign w:val="center"/>
          </w:tcPr>
          <w:p w14:paraId="6A09D7AC">
            <w:pPr>
              <w:spacing w:line="360" w:lineRule="auto"/>
              <w:jc w:val="both"/>
              <w:rPr>
                <w:color w:val="auto"/>
                <w:sz w:val="21"/>
                <w:szCs w:val="21"/>
                <w:highlight w:val="none"/>
              </w:rPr>
            </w:pPr>
            <w:r>
              <w:rPr>
                <w:rFonts w:hint="eastAsia"/>
                <w:color w:val="auto"/>
                <w:sz w:val="21"/>
                <w:szCs w:val="21"/>
                <w:highlight w:val="none"/>
              </w:rPr>
              <w:t>同竞争性磋商截止时间；</w:t>
            </w:r>
          </w:p>
          <w:p w14:paraId="16A3C751">
            <w:pPr>
              <w:spacing w:line="360" w:lineRule="auto"/>
              <w:jc w:val="both"/>
              <w:rPr>
                <w:color w:val="auto"/>
                <w:sz w:val="21"/>
                <w:szCs w:val="21"/>
                <w:highlight w:val="none"/>
              </w:rPr>
            </w:pPr>
            <w:r>
              <w:rPr>
                <w:rFonts w:hint="eastAsia"/>
                <w:color w:val="auto"/>
                <w:sz w:val="21"/>
                <w:szCs w:val="21"/>
                <w:highlight w:val="none"/>
              </w:rPr>
              <w:t>响应文件递交方式为：网上递交，网上递交网址为阳光臻达电子招投标交易平台（网址：https://dzztb.ygzdztb.com/)，供应商须在磋商截止时间前完成所有响应文件的上传，网上确认电子签名，并打印“上传响应文件回执”，递交竞争性磋商响应文件截止时间前未完成响应文件传输的，视为撤回响应文件。</w:t>
            </w:r>
          </w:p>
        </w:tc>
      </w:tr>
      <w:tr w14:paraId="35D52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886" w:type="dxa"/>
            <w:vAlign w:val="center"/>
          </w:tcPr>
          <w:p w14:paraId="4B9E168C">
            <w:pPr>
              <w:spacing w:line="360" w:lineRule="auto"/>
              <w:jc w:val="center"/>
              <w:rPr>
                <w:color w:val="auto"/>
                <w:sz w:val="21"/>
                <w:szCs w:val="21"/>
                <w:highlight w:val="none"/>
              </w:rPr>
            </w:pPr>
            <w:r>
              <w:rPr>
                <w:rFonts w:hint="eastAsia"/>
                <w:color w:val="auto"/>
                <w:sz w:val="21"/>
                <w:szCs w:val="21"/>
                <w:highlight w:val="none"/>
              </w:rPr>
              <w:t>20</w:t>
            </w:r>
          </w:p>
        </w:tc>
        <w:tc>
          <w:tcPr>
            <w:tcW w:w="2368" w:type="dxa"/>
            <w:vAlign w:val="center"/>
          </w:tcPr>
          <w:p w14:paraId="0AD3DCAB">
            <w:pPr>
              <w:spacing w:line="360" w:lineRule="auto"/>
              <w:jc w:val="center"/>
              <w:rPr>
                <w:rFonts w:hint="eastAsia" w:ascii="宋体" w:hAnsi="宋体"/>
                <w:color w:val="auto"/>
                <w:sz w:val="21"/>
                <w:szCs w:val="21"/>
                <w:highlight w:val="none"/>
              </w:rPr>
            </w:pPr>
            <w:r>
              <w:rPr>
                <w:rFonts w:hint="eastAsia" w:ascii="宋体" w:hAnsi="宋体"/>
                <w:color w:val="auto"/>
                <w:sz w:val="21"/>
                <w:szCs w:val="21"/>
                <w:highlight w:val="none"/>
              </w:rPr>
              <w:t>供应商确认收到竞争性磋商文件澄清的时间</w:t>
            </w:r>
          </w:p>
        </w:tc>
        <w:tc>
          <w:tcPr>
            <w:tcW w:w="6655" w:type="dxa"/>
            <w:vAlign w:val="center"/>
          </w:tcPr>
          <w:p w14:paraId="7CC53D7F">
            <w:pPr>
              <w:widowControl w:val="0"/>
              <w:spacing w:line="360" w:lineRule="auto"/>
              <w:jc w:val="both"/>
              <w:rPr>
                <w:rFonts w:hint="eastAsia" w:ascii="宋体" w:hAnsi="宋体"/>
                <w:color w:val="auto"/>
                <w:sz w:val="21"/>
                <w:szCs w:val="21"/>
                <w:highlight w:val="none"/>
              </w:rPr>
            </w:pPr>
            <w:r>
              <w:rPr>
                <w:rFonts w:hint="eastAsia" w:ascii="宋体" w:hAnsi="宋体"/>
                <w:color w:val="auto"/>
                <w:sz w:val="21"/>
                <w:szCs w:val="21"/>
                <w:highlight w:val="none"/>
              </w:rPr>
              <w:t>收到当天确认。</w:t>
            </w:r>
          </w:p>
        </w:tc>
      </w:tr>
      <w:tr w14:paraId="69138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886" w:type="dxa"/>
            <w:vAlign w:val="center"/>
          </w:tcPr>
          <w:p w14:paraId="4D1ADC37">
            <w:pPr>
              <w:spacing w:line="360" w:lineRule="auto"/>
              <w:jc w:val="center"/>
              <w:rPr>
                <w:color w:val="auto"/>
                <w:sz w:val="21"/>
                <w:szCs w:val="21"/>
                <w:highlight w:val="none"/>
              </w:rPr>
            </w:pPr>
            <w:r>
              <w:rPr>
                <w:rFonts w:hint="eastAsia"/>
                <w:color w:val="auto"/>
                <w:sz w:val="21"/>
                <w:szCs w:val="21"/>
                <w:highlight w:val="none"/>
              </w:rPr>
              <w:t>21</w:t>
            </w:r>
          </w:p>
        </w:tc>
        <w:tc>
          <w:tcPr>
            <w:tcW w:w="2368" w:type="dxa"/>
            <w:vAlign w:val="center"/>
          </w:tcPr>
          <w:p w14:paraId="1A7EFBA8">
            <w:pPr>
              <w:spacing w:line="360" w:lineRule="auto"/>
              <w:jc w:val="center"/>
              <w:rPr>
                <w:rFonts w:hint="eastAsia" w:ascii="宋体" w:hAnsi="宋体"/>
                <w:color w:val="auto"/>
                <w:sz w:val="21"/>
                <w:szCs w:val="21"/>
                <w:highlight w:val="none"/>
              </w:rPr>
            </w:pPr>
            <w:r>
              <w:rPr>
                <w:rFonts w:hint="eastAsia" w:ascii="宋体" w:hAnsi="宋体"/>
                <w:color w:val="auto"/>
                <w:sz w:val="21"/>
                <w:szCs w:val="21"/>
                <w:highlight w:val="none"/>
              </w:rPr>
              <w:t>供应商确认收到竞争性磋商文件修改的时间</w:t>
            </w:r>
          </w:p>
        </w:tc>
        <w:tc>
          <w:tcPr>
            <w:tcW w:w="6655" w:type="dxa"/>
            <w:vAlign w:val="center"/>
          </w:tcPr>
          <w:p w14:paraId="14890F0F">
            <w:pPr>
              <w:widowControl w:val="0"/>
              <w:spacing w:line="360" w:lineRule="auto"/>
              <w:jc w:val="both"/>
              <w:rPr>
                <w:rFonts w:hint="eastAsia" w:ascii="宋体" w:hAnsi="宋体"/>
                <w:color w:val="auto"/>
                <w:sz w:val="21"/>
                <w:szCs w:val="21"/>
                <w:highlight w:val="none"/>
              </w:rPr>
            </w:pPr>
            <w:r>
              <w:rPr>
                <w:rFonts w:hint="eastAsia" w:ascii="宋体" w:hAnsi="宋体"/>
                <w:color w:val="auto"/>
                <w:sz w:val="21"/>
                <w:szCs w:val="21"/>
                <w:highlight w:val="none"/>
              </w:rPr>
              <w:t>收到当天确认。</w:t>
            </w:r>
          </w:p>
        </w:tc>
      </w:tr>
      <w:tr w14:paraId="61993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886" w:type="dxa"/>
            <w:vAlign w:val="center"/>
          </w:tcPr>
          <w:p w14:paraId="2C3C389A">
            <w:pPr>
              <w:spacing w:line="360" w:lineRule="auto"/>
              <w:jc w:val="center"/>
              <w:rPr>
                <w:color w:val="auto"/>
                <w:sz w:val="21"/>
                <w:szCs w:val="21"/>
                <w:highlight w:val="none"/>
              </w:rPr>
            </w:pPr>
            <w:r>
              <w:rPr>
                <w:rFonts w:hint="eastAsia"/>
                <w:color w:val="auto"/>
                <w:sz w:val="21"/>
                <w:szCs w:val="21"/>
                <w:highlight w:val="none"/>
              </w:rPr>
              <w:t>22</w:t>
            </w:r>
          </w:p>
        </w:tc>
        <w:tc>
          <w:tcPr>
            <w:tcW w:w="2368" w:type="dxa"/>
            <w:vAlign w:val="center"/>
          </w:tcPr>
          <w:p w14:paraId="1D5437ED">
            <w:pPr>
              <w:spacing w:line="360" w:lineRule="auto"/>
              <w:jc w:val="center"/>
              <w:rPr>
                <w:rFonts w:hint="eastAsia" w:ascii="宋体" w:hAnsi="宋体"/>
                <w:color w:val="auto"/>
                <w:sz w:val="21"/>
                <w:szCs w:val="21"/>
                <w:highlight w:val="none"/>
              </w:rPr>
            </w:pPr>
            <w:r>
              <w:rPr>
                <w:rFonts w:hint="eastAsia" w:ascii="宋体" w:hAnsi="宋体"/>
                <w:color w:val="auto"/>
                <w:sz w:val="21"/>
                <w:szCs w:val="21"/>
                <w:highlight w:val="none"/>
              </w:rPr>
              <w:t>踏勘现场</w:t>
            </w:r>
          </w:p>
        </w:tc>
        <w:tc>
          <w:tcPr>
            <w:tcW w:w="6655" w:type="dxa"/>
            <w:vAlign w:val="center"/>
          </w:tcPr>
          <w:p w14:paraId="42F2399E">
            <w:pPr>
              <w:spacing w:line="360" w:lineRule="auto"/>
              <w:rPr>
                <w:rFonts w:hint="eastAsia" w:ascii="宋体" w:hAnsi="宋体"/>
                <w:color w:val="auto"/>
                <w:sz w:val="21"/>
                <w:szCs w:val="21"/>
                <w:highlight w:val="none"/>
              </w:rPr>
            </w:pPr>
            <w:r>
              <w:rPr>
                <w:rFonts w:hint="eastAsia" w:ascii="宋体" w:hAnsi="宋体"/>
                <w:color w:val="auto"/>
                <w:sz w:val="21"/>
                <w:szCs w:val="21"/>
                <w:highlight w:val="none"/>
              </w:rPr>
              <w:t>不组织。</w:t>
            </w:r>
          </w:p>
        </w:tc>
      </w:tr>
      <w:tr w14:paraId="3BD2E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886" w:type="dxa"/>
            <w:vAlign w:val="center"/>
          </w:tcPr>
          <w:p w14:paraId="4DDCAB03">
            <w:pPr>
              <w:spacing w:line="360" w:lineRule="auto"/>
              <w:jc w:val="center"/>
              <w:rPr>
                <w:color w:val="auto"/>
                <w:sz w:val="21"/>
                <w:szCs w:val="21"/>
                <w:highlight w:val="none"/>
              </w:rPr>
            </w:pPr>
            <w:r>
              <w:rPr>
                <w:rFonts w:hint="eastAsia"/>
                <w:color w:val="auto"/>
                <w:sz w:val="21"/>
                <w:szCs w:val="21"/>
                <w:highlight w:val="none"/>
              </w:rPr>
              <w:t>23</w:t>
            </w:r>
          </w:p>
        </w:tc>
        <w:tc>
          <w:tcPr>
            <w:tcW w:w="2368" w:type="dxa"/>
            <w:vAlign w:val="center"/>
          </w:tcPr>
          <w:p w14:paraId="25998389">
            <w:pPr>
              <w:spacing w:line="360" w:lineRule="auto"/>
              <w:jc w:val="center"/>
              <w:rPr>
                <w:color w:val="auto"/>
                <w:sz w:val="21"/>
                <w:szCs w:val="21"/>
                <w:highlight w:val="none"/>
              </w:rPr>
            </w:pPr>
            <w:r>
              <w:rPr>
                <w:rFonts w:hint="eastAsia"/>
                <w:color w:val="auto"/>
                <w:sz w:val="21"/>
                <w:szCs w:val="21"/>
                <w:highlight w:val="none"/>
              </w:rPr>
              <w:t>报价方式</w:t>
            </w:r>
          </w:p>
        </w:tc>
        <w:tc>
          <w:tcPr>
            <w:tcW w:w="6655" w:type="dxa"/>
            <w:vAlign w:val="center"/>
          </w:tcPr>
          <w:p w14:paraId="0D57D266">
            <w:pPr>
              <w:pStyle w:val="21"/>
              <w:spacing w:line="360" w:lineRule="auto"/>
              <w:rPr>
                <w:color w:val="auto"/>
                <w:highlight w:val="none"/>
              </w:rPr>
            </w:pPr>
            <w:r>
              <w:rPr>
                <w:color w:val="auto"/>
                <w:highlight w:val="none"/>
              </w:rPr>
              <w:t>报价方式：本项目按五个服务阶段进行报价。供应商结合自身水平及实力和本项目规定的工作内容和计划工作量，依据市场竞争原则自行考虑完成本项目各阶段所有工作所需的所有费用，填报每个阶段含税包干总价（万元）及合计总价，并填报各阶段单价。</w:t>
            </w:r>
            <w:r>
              <w:rPr>
                <w:color w:val="auto"/>
                <w:highlight w:val="none"/>
              </w:rPr>
              <w:br w:type="textWrapping"/>
            </w:r>
            <w:r>
              <w:rPr>
                <w:color w:val="auto"/>
                <w:highlight w:val="none"/>
              </w:rPr>
              <w:t>各阶段报价上限分别为：</w:t>
            </w:r>
          </w:p>
          <w:p w14:paraId="7D2F4C4C">
            <w:pPr>
              <w:pStyle w:val="21"/>
              <w:spacing w:line="360" w:lineRule="auto"/>
              <w:rPr>
                <w:color w:val="auto"/>
                <w:highlight w:val="none"/>
              </w:rPr>
            </w:pPr>
            <w:r>
              <w:rPr>
                <w:color w:val="auto"/>
                <w:highlight w:val="none"/>
              </w:rPr>
              <w:t>第一阶段（招标前）11.50万元、</w:t>
            </w:r>
          </w:p>
          <w:p w14:paraId="1A8EF71F">
            <w:pPr>
              <w:pStyle w:val="21"/>
              <w:spacing w:line="360" w:lineRule="auto"/>
              <w:rPr>
                <w:color w:val="auto"/>
                <w:highlight w:val="none"/>
              </w:rPr>
            </w:pPr>
            <w:r>
              <w:rPr>
                <w:color w:val="auto"/>
                <w:highlight w:val="none"/>
              </w:rPr>
              <w:t>第二阶段（招标中）5.50万元、</w:t>
            </w:r>
          </w:p>
          <w:p w14:paraId="79AB2F4F">
            <w:pPr>
              <w:pStyle w:val="21"/>
              <w:spacing w:line="360" w:lineRule="auto"/>
              <w:rPr>
                <w:color w:val="auto"/>
                <w:highlight w:val="none"/>
              </w:rPr>
            </w:pPr>
            <w:r>
              <w:rPr>
                <w:color w:val="auto"/>
                <w:highlight w:val="none"/>
              </w:rPr>
              <w:t>第三阶段（签约+移交）5.33万元、</w:t>
            </w:r>
          </w:p>
          <w:p w14:paraId="3742DBBE">
            <w:pPr>
              <w:pStyle w:val="21"/>
              <w:spacing w:line="360" w:lineRule="auto"/>
              <w:rPr>
                <w:color w:val="auto"/>
                <w:highlight w:val="none"/>
              </w:rPr>
            </w:pPr>
            <w:r>
              <w:rPr>
                <w:color w:val="auto"/>
                <w:highlight w:val="none"/>
              </w:rPr>
              <w:t>第四阶段（建设+验收）8.67万元、</w:t>
            </w:r>
          </w:p>
          <w:p w14:paraId="1AF4CD2F">
            <w:pPr>
              <w:pStyle w:val="21"/>
              <w:spacing w:line="360" w:lineRule="auto"/>
              <w:rPr>
                <w:color w:val="auto"/>
                <w:highlight w:val="none"/>
              </w:rPr>
            </w:pPr>
            <w:r>
              <w:rPr>
                <w:color w:val="auto"/>
                <w:highlight w:val="none"/>
              </w:rPr>
              <w:t>第五阶段（试运营）6.33万元，</w:t>
            </w:r>
          </w:p>
          <w:p w14:paraId="3C7050A7">
            <w:pPr>
              <w:pStyle w:val="21"/>
              <w:spacing w:line="360" w:lineRule="auto"/>
              <w:rPr>
                <w:rFonts w:hint="eastAsia" w:ascii="宋体" w:hAnsi="宋体"/>
                <w:color w:val="auto"/>
                <w:sz w:val="21"/>
                <w:szCs w:val="21"/>
                <w:highlight w:val="none"/>
              </w:rPr>
            </w:pPr>
            <w:r>
              <w:rPr>
                <w:color w:val="auto"/>
                <w:highlight w:val="none"/>
              </w:rPr>
              <w:t>合计总报价上限价37.33万元。供应商各阶段报价及合计总价均不得超过相应公布的价格，否则作否决处理。</w:t>
            </w:r>
          </w:p>
        </w:tc>
      </w:tr>
      <w:tr w14:paraId="06B27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886" w:type="dxa"/>
            <w:vAlign w:val="center"/>
          </w:tcPr>
          <w:p w14:paraId="244AD4F4">
            <w:pPr>
              <w:spacing w:line="360" w:lineRule="auto"/>
              <w:jc w:val="center"/>
              <w:rPr>
                <w:color w:val="auto"/>
                <w:sz w:val="21"/>
                <w:szCs w:val="21"/>
                <w:highlight w:val="none"/>
              </w:rPr>
            </w:pPr>
            <w:r>
              <w:rPr>
                <w:rFonts w:hint="eastAsia"/>
                <w:color w:val="auto"/>
                <w:sz w:val="21"/>
                <w:szCs w:val="21"/>
                <w:highlight w:val="none"/>
              </w:rPr>
              <w:t>24</w:t>
            </w:r>
          </w:p>
        </w:tc>
        <w:tc>
          <w:tcPr>
            <w:tcW w:w="2368" w:type="dxa"/>
            <w:vAlign w:val="center"/>
          </w:tcPr>
          <w:p w14:paraId="65D86D47">
            <w:pPr>
              <w:spacing w:line="360" w:lineRule="auto"/>
              <w:jc w:val="center"/>
              <w:rPr>
                <w:color w:val="auto"/>
                <w:sz w:val="21"/>
                <w:szCs w:val="21"/>
                <w:highlight w:val="none"/>
              </w:rPr>
            </w:pPr>
            <w:r>
              <w:rPr>
                <w:rFonts w:hint="eastAsia" w:ascii="宋体" w:hAnsi="宋体"/>
                <w:color w:val="auto"/>
                <w:sz w:val="21"/>
                <w:szCs w:val="21"/>
                <w:highlight w:val="none"/>
              </w:rPr>
              <w:t>竞争性</w:t>
            </w:r>
            <w:r>
              <w:rPr>
                <w:rFonts w:hint="eastAsia"/>
                <w:color w:val="auto"/>
                <w:sz w:val="21"/>
                <w:szCs w:val="21"/>
                <w:highlight w:val="none"/>
              </w:rPr>
              <w:t>磋商有效期</w:t>
            </w:r>
          </w:p>
        </w:tc>
        <w:tc>
          <w:tcPr>
            <w:tcW w:w="6655" w:type="dxa"/>
            <w:vAlign w:val="center"/>
          </w:tcPr>
          <w:p w14:paraId="3AE5386D">
            <w:pPr>
              <w:spacing w:line="360" w:lineRule="auto"/>
              <w:rPr>
                <w:color w:val="auto"/>
                <w:sz w:val="21"/>
                <w:szCs w:val="21"/>
                <w:highlight w:val="none"/>
              </w:rPr>
            </w:pPr>
            <w:r>
              <w:rPr>
                <w:rFonts w:hint="eastAsia"/>
                <w:color w:val="auto"/>
                <w:sz w:val="21"/>
                <w:szCs w:val="21"/>
                <w:highlight w:val="none"/>
              </w:rPr>
              <w:t>60日历天，从</w:t>
            </w:r>
            <w:r>
              <w:rPr>
                <w:rFonts w:hint="eastAsia" w:ascii="宋体" w:hAnsi="宋体"/>
                <w:color w:val="auto"/>
                <w:sz w:val="21"/>
                <w:szCs w:val="21"/>
                <w:highlight w:val="none"/>
              </w:rPr>
              <w:t>竞争性</w:t>
            </w:r>
            <w:r>
              <w:rPr>
                <w:rFonts w:hint="eastAsia"/>
                <w:color w:val="auto"/>
                <w:sz w:val="21"/>
                <w:szCs w:val="21"/>
                <w:highlight w:val="none"/>
              </w:rPr>
              <w:t>磋商响应文件递交截止之日算起。</w:t>
            </w:r>
          </w:p>
        </w:tc>
      </w:tr>
      <w:tr w14:paraId="3054B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86" w:type="dxa"/>
            <w:vAlign w:val="center"/>
          </w:tcPr>
          <w:p w14:paraId="085378C3">
            <w:pPr>
              <w:spacing w:line="360" w:lineRule="auto"/>
              <w:jc w:val="center"/>
              <w:rPr>
                <w:color w:val="auto"/>
                <w:sz w:val="21"/>
                <w:szCs w:val="21"/>
                <w:highlight w:val="none"/>
              </w:rPr>
            </w:pPr>
            <w:r>
              <w:rPr>
                <w:rFonts w:hint="eastAsia"/>
                <w:color w:val="auto"/>
                <w:sz w:val="21"/>
                <w:szCs w:val="21"/>
                <w:highlight w:val="none"/>
              </w:rPr>
              <w:t>25</w:t>
            </w:r>
          </w:p>
        </w:tc>
        <w:tc>
          <w:tcPr>
            <w:tcW w:w="2368" w:type="dxa"/>
            <w:vAlign w:val="center"/>
          </w:tcPr>
          <w:p w14:paraId="054C8837">
            <w:pPr>
              <w:spacing w:line="360" w:lineRule="auto"/>
              <w:jc w:val="center"/>
              <w:rPr>
                <w:color w:val="auto"/>
                <w:sz w:val="21"/>
                <w:szCs w:val="21"/>
                <w:highlight w:val="none"/>
              </w:rPr>
            </w:pPr>
            <w:r>
              <w:rPr>
                <w:color w:val="auto"/>
                <w:highlight w:val="none"/>
              </w:rPr>
              <w:t>磋商保证金</w:t>
            </w:r>
          </w:p>
        </w:tc>
        <w:tc>
          <w:tcPr>
            <w:tcW w:w="6655" w:type="dxa"/>
            <w:vAlign w:val="center"/>
          </w:tcPr>
          <w:p w14:paraId="6412625F">
            <w:pPr>
              <w:snapToGrid w:val="0"/>
              <w:spacing w:line="360" w:lineRule="auto"/>
              <w:rPr>
                <w:color w:val="auto"/>
                <w:sz w:val="21"/>
                <w:szCs w:val="21"/>
                <w:highlight w:val="none"/>
              </w:rPr>
            </w:pPr>
            <w:r>
              <w:rPr>
                <w:rFonts w:hint="eastAsia" w:ascii="宋体" w:hAnsi="宋体" w:cs="宋体"/>
                <w:b/>
                <w:color w:val="auto"/>
                <w:sz w:val="21"/>
                <w:szCs w:val="21"/>
                <w:highlight w:val="none"/>
              </w:rPr>
              <w:t>/</w:t>
            </w:r>
          </w:p>
        </w:tc>
      </w:tr>
      <w:tr w14:paraId="2619C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886" w:type="dxa"/>
            <w:vAlign w:val="center"/>
          </w:tcPr>
          <w:p w14:paraId="3E4E63BA">
            <w:pPr>
              <w:spacing w:line="360" w:lineRule="auto"/>
              <w:jc w:val="center"/>
              <w:rPr>
                <w:color w:val="auto"/>
                <w:sz w:val="21"/>
                <w:szCs w:val="21"/>
                <w:highlight w:val="none"/>
              </w:rPr>
            </w:pPr>
            <w:r>
              <w:rPr>
                <w:rFonts w:hint="eastAsia"/>
                <w:color w:val="auto"/>
                <w:sz w:val="21"/>
                <w:szCs w:val="21"/>
                <w:highlight w:val="none"/>
              </w:rPr>
              <w:t>26</w:t>
            </w:r>
          </w:p>
        </w:tc>
        <w:tc>
          <w:tcPr>
            <w:tcW w:w="2368" w:type="dxa"/>
            <w:vAlign w:val="center"/>
          </w:tcPr>
          <w:p w14:paraId="6054AB03">
            <w:pPr>
              <w:spacing w:line="360" w:lineRule="auto"/>
              <w:jc w:val="center"/>
              <w:rPr>
                <w:color w:val="auto"/>
                <w:sz w:val="21"/>
                <w:szCs w:val="21"/>
                <w:highlight w:val="none"/>
              </w:rPr>
            </w:pPr>
            <w:r>
              <w:rPr>
                <w:color w:val="auto"/>
                <w:highlight w:val="none"/>
              </w:rPr>
              <w:t>磋商保证金的退还</w:t>
            </w:r>
          </w:p>
        </w:tc>
        <w:tc>
          <w:tcPr>
            <w:tcW w:w="6655" w:type="dxa"/>
            <w:vAlign w:val="center"/>
          </w:tcPr>
          <w:p w14:paraId="2B318721">
            <w:pPr>
              <w:spacing w:line="360" w:lineRule="auto"/>
              <w:rPr>
                <w:color w:val="auto"/>
                <w:sz w:val="21"/>
                <w:szCs w:val="21"/>
                <w:highlight w:val="none"/>
              </w:rPr>
            </w:pPr>
            <w:r>
              <w:rPr>
                <w:rFonts w:hint="eastAsia" w:ascii="宋体" w:hAnsi="宋体" w:cs="宋体"/>
                <w:b/>
                <w:color w:val="auto"/>
                <w:sz w:val="21"/>
                <w:szCs w:val="21"/>
                <w:highlight w:val="none"/>
              </w:rPr>
              <w:t>/</w:t>
            </w:r>
          </w:p>
        </w:tc>
      </w:tr>
      <w:tr w14:paraId="18248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886" w:type="dxa"/>
            <w:vAlign w:val="center"/>
          </w:tcPr>
          <w:p w14:paraId="46BB270D">
            <w:pPr>
              <w:spacing w:line="360" w:lineRule="auto"/>
              <w:jc w:val="center"/>
              <w:rPr>
                <w:color w:val="auto"/>
                <w:sz w:val="21"/>
                <w:szCs w:val="21"/>
                <w:highlight w:val="none"/>
              </w:rPr>
            </w:pPr>
            <w:r>
              <w:rPr>
                <w:rFonts w:hint="eastAsia"/>
                <w:color w:val="auto"/>
                <w:sz w:val="21"/>
                <w:szCs w:val="21"/>
                <w:highlight w:val="none"/>
              </w:rPr>
              <w:t>27</w:t>
            </w:r>
          </w:p>
        </w:tc>
        <w:tc>
          <w:tcPr>
            <w:tcW w:w="2368" w:type="dxa"/>
            <w:vAlign w:val="center"/>
          </w:tcPr>
          <w:p w14:paraId="14D600DB">
            <w:pPr>
              <w:spacing w:line="360" w:lineRule="auto"/>
              <w:jc w:val="center"/>
              <w:rPr>
                <w:color w:val="auto"/>
                <w:sz w:val="21"/>
                <w:szCs w:val="21"/>
                <w:highlight w:val="none"/>
              </w:rPr>
            </w:pPr>
            <w:r>
              <w:rPr>
                <w:rFonts w:hint="eastAsia"/>
                <w:color w:val="auto"/>
                <w:sz w:val="21"/>
                <w:szCs w:val="21"/>
                <w:highlight w:val="none"/>
              </w:rPr>
              <w:t>是否允许递交备选投标方案</w:t>
            </w:r>
          </w:p>
        </w:tc>
        <w:tc>
          <w:tcPr>
            <w:tcW w:w="6655" w:type="dxa"/>
            <w:vAlign w:val="center"/>
          </w:tcPr>
          <w:p w14:paraId="70EB90F2">
            <w:pPr>
              <w:spacing w:line="360" w:lineRule="auto"/>
              <w:rPr>
                <w:color w:val="auto"/>
                <w:sz w:val="21"/>
                <w:szCs w:val="21"/>
                <w:highlight w:val="none"/>
              </w:rPr>
            </w:pPr>
            <w:r>
              <w:rPr>
                <w:rFonts w:hint="eastAsia"/>
                <w:color w:val="auto"/>
                <w:sz w:val="21"/>
                <w:szCs w:val="21"/>
                <w:highlight w:val="none"/>
              </w:rPr>
              <w:t>不允许。</w:t>
            </w:r>
          </w:p>
        </w:tc>
      </w:tr>
      <w:tr w14:paraId="0D069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jc w:val="center"/>
        </w:trPr>
        <w:tc>
          <w:tcPr>
            <w:tcW w:w="886" w:type="dxa"/>
            <w:vAlign w:val="center"/>
          </w:tcPr>
          <w:p w14:paraId="4C6A6AA1">
            <w:pPr>
              <w:spacing w:line="360" w:lineRule="auto"/>
              <w:jc w:val="center"/>
              <w:rPr>
                <w:color w:val="auto"/>
                <w:sz w:val="21"/>
                <w:szCs w:val="21"/>
                <w:highlight w:val="none"/>
              </w:rPr>
            </w:pPr>
            <w:r>
              <w:rPr>
                <w:rFonts w:hint="eastAsia"/>
                <w:color w:val="auto"/>
                <w:sz w:val="21"/>
                <w:szCs w:val="21"/>
                <w:highlight w:val="none"/>
              </w:rPr>
              <w:t>28</w:t>
            </w:r>
          </w:p>
        </w:tc>
        <w:tc>
          <w:tcPr>
            <w:tcW w:w="2368" w:type="dxa"/>
            <w:vAlign w:val="center"/>
          </w:tcPr>
          <w:p w14:paraId="29898CE3">
            <w:pPr>
              <w:widowControl w:val="0"/>
              <w:wordWrap w:val="0"/>
              <w:snapToGrid w:val="0"/>
              <w:spacing w:before="120" w:beforeLines="50" w:line="360" w:lineRule="auto"/>
              <w:jc w:val="center"/>
              <w:rPr>
                <w:color w:val="auto"/>
                <w:sz w:val="21"/>
                <w:szCs w:val="21"/>
                <w:highlight w:val="none"/>
              </w:rPr>
            </w:pPr>
            <w:r>
              <w:rPr>
                <w:rFonts w:hint="eastAsia" w:ascii="宋体" w:hAnsi="宋体" w:cs="宋体"/>
                <w:color w:val="auto"/>
                <w:sz w:val="21"/>
                <w:szCs w:val="21"/>
                <w:highlight w:val="none"/>
              </w:rPr>
              <w:t>资格审查文件</w:t>
            </w:r>
          </w:p>
        </w:tc>
        <w:tc>
          <w:tcPr>
            <w:tcW w:w="6655" w:type="dxa"/>
            <w:vAlign w:val="center"/>
          </w:tcPr>
          <w:p w14:paraId="1CEEB79C">
            <w:pPr>
              <w:widowControl w:val="0"/>
              <w:wordWrap w:val="0"/>
              <w:snapToGrid w:val="0"/>
              <w:spacing w:before="120" w:beforeLines="50" w:line="360" w:lineRule="auto"/>
              <w:rPr>
                <w:color w:val="auto"/>
                <w:sz w:val="21"/>
                <w:szCs w:val="21"/>
                <w:highlight w:val="none"/>
              </w:rPr>
            </w:pPr>
            <w:r>
              <w:rPr>
                <w:rFonts w:hint="eastAsia" w:ascii="宋体" w:hAnsi="宋体" w:cs="宋体"/>
                <w:color w:val="auto"/>
                <w:sz w:val="21"/>
                <w:szCs w:val="21"/>
                <w:highlight w:val="none"/>
              </w:rPr>
              <w:t>供应商需符合《第六章 竞争性磋商响应文件格式》中资格审查部分的要求。</w:t>
            </w:r>
          </w:p>
        </w:tc>
      </w:tr>
      <w:tr w14:paraId="7784A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886" w:type="dxa"/>
            <w:vAlign w:val="center"/>
          </w:tcPr>
          <w:p w14:paraId="511B860D">
            <w:pPr>
              <w:spacing w:line="360" w:lineRule="auto"/>
              <w:jc w:val="center"/>
              <w:rPr>
                <w:color w:val="auto"/>
                <w:sz w:val="21"/>
                <w:szCs w:val="21"/>
                <w:highlight w:val="none"/>
              </w:rPr>
            </w:pPr>
            <w:r>
              <w:rPr>
                <w:rFonts w:hint="eastAsia"/>
                <w:color w:val="auto"/>
                <w:sz w:val="21"/>
                <w:szCs w:val="21"/>
                <w:highlight w:val="none"/>
              </w:rPr>
              <w:t>29</w:t>
            </w:r>
          </w:p>
        </w:tc>
        <w:tc>
          <w:tcPr>
            <w:tcW w:w="2368" w:type="dxa"/>
            <w:vAlign w:val="center"/>
          </w:tcPr>
          <w:p w14:paraId="27F287D3">
            <w:pPr>
              <w:widowControl w:val="0"/>
              <w:wordWrap w:val="0"/>
              <w:snapToGrid w:val="0"/>
              <w:spacing w:before="120" w:beforeLines="50" w:line="360" w:lineRule="auto"/>
              <w:jc w:val="center"/>
              <w:rPr>
                <w:color w:val="auto"/>
                <w:sz w:val="21"/>
                <w:szCs w:val="21"/>
                <w:highlight w:val="none"/>
              </w:rPr>
            </w:pPr>
            <w:r>
              <w:rPr>
                <w:rFonts w:hint="eastAsia" w:ascii="宋体" w:hAnsi="宋体" w:cs="宋体"/>
                <w:color w:val="auto"/>
                <w:sz w:val="21"/>
                <w:szCs w:val="21"/>
                <w:highlight w:val="none"/>
              </w:rPr>
              <w:t>竞争性磋商响应文件格式</w:t>
            </w:r>
          </w:p>
        </w:tc>
        <w:tc>
          <w:tcPr>
            <w:tcW w:w="6655" w:type="dxa"/>
            <w:vAlign w:val="center"/>
          </w:tcPr>
          <w:p w14:paraId="1E518119">
            <w:pPr>
              <w:wordWrap w:val="0"/>
              <w:spacing w:before="120" w:beforeLines="50" w:line="360" w:lineRule="auto"/>
              <w:rPr>
                <w:rFonts w:hint="eastAsia" w:ascii="宋体" w:hAnsi="宋体" w:cs="宋体"/>
                <w:color w:val="auto"/>
                <w:sz w:val="21"/>
                <w:szCs w:val="21"/>
                <w:highlight w:val="none"/>
                <w:lang w:val="ru-RU"/>
              </w:rPr>
            </w:pPr>
            <w:r>
              <w:rPr>
                <w:rFonts w:hint="eastAsia" w:ascii="宋体" w:hAnsi="宋体" w:cs="宋体"/>
                <w:color w:val="auto"/>
                <w:sz w:val="21"/>
                <w:szCs w:val="21"/>
                <w:highlight w:val="none"/>
                <w:lang w:val="ru-RU"/>
              </w:rPr>
              <w:t>按照《第六章 竞争性磋商响应文件格式》中的章节及内容进行编制。</w:t>
            </w:r>
          </w:p>
          <w:p w14:paraId="37D24E96">
            <w:pPr>
              <w:widowControl w:val="0"/>
              <w:wordWrap w:val="0"/>
              <w:snapToGrid w:val="0"/>
              <w:spacing w:before="120" w:beforeLines="50" w:line="360" w:lineRule="auto"/>
              <w:rPr>
                <w:rFonts w:hint="eastAsia" w:ascii="宋体" w:hAnsi="宋体" w:cs="宋体"/>
                <w:color w:val="auto"/>
                <w:sz w:val="21"/>
                <w:szCs w:val="21"/>
                <w:highlight w:val="none"/>
                <w:lang w:val="ru-RU"/>
              </w:rPr>
            </w:pPr>
            <w:r>
              <w:rPr>
                <w:rFonts w:hint="eastAsia" w:ascii="宋体" w:hAnsi="宋体" w:cs="宋体"/>
                <w:color w:val="auto"/>
                <w:sz w:val="21"/>
                <w:szCs w:val="21"/>
                <w:highlight w:val="none"/>
                <w:lang w:val="ru-RU"/>
              </w:rPr>
              <w:t>竞争性磋商响应文件全部采用电子文档，竞争性磋商响应文件须使用《阳光臻达-</w:t>
            </w:r>
            <w:r>
              <w:rPr>
                <w:rFonts w:hint="eastAsia" w:ascii="宋体" w:hAnsi="宋体" w:cs="宋体"/>
                <w:color w:val="auto"/>
                <w:sz w:val="21"/>
                <w:szCs w:val="21"/>
                <w:highlight w:val="none"/>
              </w:rPr>
              <w:t>投标文件编制</w:t>
            </w:r>
            <w:r>
              <w:rPr>
                <w:rFonts w:hint="eastAsia" w:ascii="宋体" w:hAnsi="宋体" w:cs="宋体"/>
                <w:color w:val="auto"/>
                <w:sz w:val="21"/>
                <w:szCs w:val="21"/>
                <w:highlight w:val="none"/>
                <w:lang w:val="ru-RU"/>
              </w:rPr>
              <w:t>工具》制作，文件格式为*.SPCT。</w:t>
            </w:r>
          </w:p>
          <w:p w14:paraId="1A1D944E">
            <w:pPr>
              <w:widowControl w:val="0"/>
              <w:wordWrap w:val="0"/>
              <w:snapToGrid w:val="0"/>
              <w:spacing w:before="120" w:beforeLines="50" w:line="360" w:lineRule="auto"/>
              <w:rPr>
                <w:rFonts w:hint="eastAsia" w:ascii="宋体" w:hAnsi="宋体" w:cs="宋体"/>
                <w:bCs/>
                <w:color w:val="auto"/>
                <w:sz w:val="21"/>
                <w:szCs w:val="21"/>
                <w:highlight w:val="none"/>
                <w:lang w:val="ru-RU"/>
              </w:rPr>
            </w:pPr>
            <w:r>
              <w:rPr>
                <w:rFonts w:hint="eastAsia" w:ascii="宋体" w:hAnsi="宋体" w:cs="宋体"/>
                <w:bCs/>
                <w:color w:val="auto"/>
                <w:sz w:val="21"/>
                <w:szCs w:val="21"/>
                <w:highlight w:val="none"/>
                <w:lang w:val="ru-RU"/>
              </w:rPr>
              <w:t>特别注意：</w:t>
            </w:r>
          </w:p>
          <w:p w14:paraId="7BCF3692">
            <w:pPr>
              <w:widowControl w:val="0"/>
              <w:wordWrap w:val="0"/>
              <w:snapToGrid w:val="0"/>
              <w:spacing w:before="120" w:beforeLines="50" w:line="360" w:lineRule="auto"/>
              <w:rPr>
                <w:rFonts w:hint="eastAsia" w:ascii="宋体" w:hAnsi="宋体" w:cs="宋体"/>
                <w:bCs/>
                <w:color w:val="auto"/>
                <w:sz w:val="21"/>
                <w:szCs w:val="21"/>
                <w:highlight w:val="none"/>
                <w:lang w:val="ru-RU"/>
              </w:rPr>
            </w:pPr>
            <w:r>
              <w:rPr>
                <w:rFonts w:hint="eastAsia" w:ascii="宋体" w:hAnsi="宋体" w:cs="宋体"/>
                <w:bCs/>
                <w:color w:val="auto"/>
                <w:sz w:val="21"/>
                <w:szCs w:val="21"/>
                <w:highlight w:val="none"/>
                <w:lang w:val="ru-RU"/>
              </w:rPr>
              <w:t>（1）供应商不得对竞争性磋商文件格式中的内容进行删减或修改，否则视为其磋商无效否决。</w:t>
            </w:r>
          </w:p>
          <w:p w14:paraId="576D6EC2">
            <w:pPr>
              <w:widowControl w:val="0"/>
              <w:wordWrap w:val="0"/>
              <w:snapToGrid w:val="0"/>
              <w:spacing w:before="120" w:beforeLines="50" w:line="360" w:lineRule="auto"/>
              <w:rPr>
                <w:rFonts w:hint="eastAsia" w:ascii="宋体" w:hAnsi="宋体" w:cs="宋体"/>
                <w:bCs/>
                <w:color w:val="auto"/>
                <w:sz w:val="21"/>
                <w:szCs w:val="21"/>
                <w:highlight w:val="none"/>
                <w:lang w:val="ru-RU"/>
              </w:rPr>
            </w:pPr>
            <w:r>
              <w:rPr>
                <w:rFonts w:hint="eastAsia" w:ascii="宋体" w:hAnsi="宋体" w:cs="宋体"/>
                <w:bCs/>
                <w:color w:val="auto"/>
                <w:sz w:val="21"/>
                <w:szCs w:val="21"/>
                <w:highlight w:val="none"/>
                <w:lang w:val="ru-RU"/>
              </w:rPr>
              <w:t>（2）按竞争性磋商响应文件格式在空格（下划线）由供应商填写的内容，确实没有需要填写的，可以在空格中用“/”标示，也可以不填（空白）。但竞争性磋商文件中另有规定的从其规定。</w:t>
            </w:r>
          </w:p>
          <w:p w14:paraId="1C3EDBB9">
            <w:pPr>
              <w:widowControl w:val="0"/>
              <w:wordWrap w:val="0"/>
              <w:snapToGrid w:val="0"/>
              <w:spacing w:before="120" w:beforeLines="50" w:line="360" w:lineRule="auto"/>
              <w:rPr>
                <w:rFonts w:hint="eastAsia" w:ascii="宋体" w:hAnsi="宋体" w:cs="宋体"/>
                <w:bCs/>
                <w:color w:val="auto"/>
                <w:sz w:val="21"/>
                <w:szCs w:val="21"/>
                <w:highlight w:val="none"/>
                <w:lang w:val="ru-RU"/>
              </w:rPr>
            </w:pPr>
            <w:r>
              <w:rPr>
                <w:rFonts w:hint="eastAsia" w:ascii="宋体" w:hAnsi="宋体" w:cs="宋体"/>
                <w:bCs/>
                <w:color w:val="auto"/>
                <w:sz w:val="21"/>
                <w:szCs w:val="21"/>
                <w:highlight w:val="none"/>
                <w:lang w:val="ru-RU"/>
              </w:rPr>
              <w:t>（3）供应商可以在格式内容之外另行说明和增加相关内容，作为竞争性磋商响应文件的组成部分。另行说明或自行增加的内容，以及按竞争性磋商响应文件格式在空格（下划线）由供应商填写的内容，不得与竞争性磋商文件的强制性审查标准和禁止性规定相抵触。</w:t>
            </w:r>
          </w:p>
          <w:p w14:paraId="32801A7B">
            <w:pPr>
              <w:widowControl w:val="0"/>
              <w:wordWrap w:val="0"/>
              <w:snapToGrid w:val="0"/>
              <w:spacing w:before="120" w:beforeLines="50" w:line="360" w:lineRule="auto"/>
              <w:rPr>
                <w:color w:val="auto"/>
                <w:sz w:val="21"/>
                <w:szCs w:val="21"/>
                <w:highlight w:val="none"/>
              </w:rPr>
            </w:pPr>
            <w:r>
              <w:rPr>
                <w:rFonts w:hint="eastAsia" w:ascii="宋体" w:hAnsi="宋体" w:cs="宋体"/>
                <w:bCs/>
                <w:color w:val="auto"/>
                <w:sz w:val="21"/>
                <w:szCs w:val="21"/>
                <w:highlight w:val="none"/>
                <w:lang w:val="ru-RU"/>
              </w:rPr>
              <w:t>（4）竞争性磋商响应文件应对竞争性磋商文件提出的所有实质性要求和条件作出实质性响应，并且实质性响应的内容不得互相矛盾。</w:t>
            </w:r>
          </w:p>
        </w:tc>
      </w:tr>
      <w:tr w14:paraId="70B26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9" w:hRule="atLeast"/>
          <w:jc w:val="center"/>
        </w:trPr>
        <w:tc>
          <w:tcPr>
            <w:tcW w:w="886" w:type="dxa"/>
            <w:vAlign w:val="center"/>
          </w:tcPr>
          <w:p w14:paraId="36BE5D57">
            <w:pPr>
              <w:spacing w:line="360" w:lineRule="auto"/>
              <w:jc w:val="center"/>
              <w:rPr>
                <w:color w:val="auto"/>
                <w:sz w:val="21"/>
                <w:szCs w:val="21"/>
                <w:highlight w:val="none"/>
              </w:rPr>
            </w:pPr>
            <w:r>
              <w:rPr>
                <w:rFonts w:hint="eastAsia"/>
                <w:color w:val="auto"/>
                <w:sz w:val="21"/>
                <w:szCs w:val="21"/>
                <w:highlight w:val="none"/>
              </w:rPr>
              <w:t>30</w:t>
            </w:r>
          </w:p>
        </w:tc>
        <w:tc>
          <w:tcPr>
            <w:tcW w:w="2368" w:type="dxa"/>
            <w:vAlign w:val="center"/>
          </w:tcPr>
          <w:p w14:paraId="400FA15B">
            <w:pPr>
              <w:widowControl w:val="0"/>
              <w:wordWrap w:val="0"/>
              <w:snapToGrid w:val="0"/>
              <w:spacing w:before="120" w:beforeLines="50" w:line="360" w:lineRule="auto"/>
              <w:jc w:val="center"/>
              <w:rPr>
                <w:color w:val="auto"/>
                <w:sz w:val="21"/>
                <w:szCs w:val="21"/>
                <w:highlight w:val="none"/>
              </w:rPr>
            </w:pPr>
            <w:r>
              <w:rPr>
                <w:rFonts w:hint="eastAsia" w:ascii="宋体" w:hAnsi="宋体" w:cs="宋体"/>
                <w:color w:val="auto"/>
                <w:sz w:val="21"/>
                <w:szCs w:val="21"/>
                <w:highlight w:val="none"/>
              </w:rPr>
              <w:t>竞争性磋商响应文件的签署</w:t>
            </w:r>
          </w:p>
        </w:tc>
        <w:tc>
          <w:tcPr>
            <w:tcW w:w="6655" w:type="dxa"/>
            <w:vAlign w:val="center"/>
          </w:tcPr>
          <w:p w14:paraId="32ADF63A">
            <w:pPr>
              <w:widowControl w:val="0"/>
              <w:wordWrap w:val="0"/>
              <w:snapToGrid w:val="0"/>
              <w:spacing w:before="120" w:beforeLines="50" w:line="360" w:lineRule="auto"/>
              <w:rPr>
                <w:rFonts w:hint="eastAsia" w:ascii="宋体" w:hAnsi="宋体" w:cs="宋体"/>
                <w:color w:val="auto"/>
                <w:sz w:val="21"/>
                <w:szCs w:val="21"/>
                <w:highlight w:val="none"/>
                <w:lang w:val="ru-RU"/>
              </w:rPr>
            </w:pPr>
            <w:r>
              <w:rPr>
                <w:rFonts w:hint="eastAsia" w:ascii="宋体" w:hAnsi="宋体" w:cs="宋体"/>
                <w:color w:val="auto"/>
                <w:sz w:val="21"/>
                <w:szCs w:val="21"/>
                <w:highlight w:val="none"/>
                <w:lang w:val="ru-RU"/>
              </w:rPr>
              <w:t>按照竞争性磋商响应文件格式，采用供应商企业（单位）和法定代表人数字证书的电子签章。</w:t>
            </w:r>
          </w:p>
          <w:p w14:paraId="56CBE490">
            <w:pPr>
              <w:widowControl w:val="0"/>
              <w:wordWrap w:val="0"/>
              <w:snapToGrid w:val="0"/>
              <w:spacing w:before="120" w:beforeLines="50" w:line="360" w:lineRule="auto"/>
              <w:rPr>
                <w:rFonts w:hint="eastAsia" w:ascii="宋体" w:hAnsi="宋体" w:cs="宋体"/>
                <w:color w:val="auto"/>
                <w:sz w:val="21"/>
                <w:szCs w:val="21"/>
                <w:highlight w:val="none"/>
                <w:lang w:val="ru-RU"/>
              </w:rPr>
            </w:pPr>
            <w:r>
              <w:rPr>
                <w:rFonts w:hint="eastAsia" w:ascii="宋体" w:hAnsi="宋体" w:cs="宋体"/>
                <w:color w:val="auto"/>
                <w:sz w:val="21"/>
                <w:szCs w:val="21"/>
                <w:highlight w:val="none"/>
                <w:lang w:val="ru-RU"/>
              </w:rPr>
              <w:t>供应商的签章为：供应商使用企业（单位）CA证书进行的电子签章，法定代表人的签章为：使用法人CA证书进行的电子签章或电子签名，竞争性磋商文件《竞争性磋商响应文件格式》中有另外签字盖章要求的，按格式进行。</w:t>
            </w:r>
          </w:p>
          <w:p w14:paraId="670C4BD1">
            <w:pPr>
              <w:widowControl w:val="0"/>
              <w:wordWrap w:val="0"/>
              <w:snapToGrid w:val="0"/>
              <w:spacing w:before="120" w:beforeLines="50" w:line="360" w:lineRule="auto"/>
              <w:rPr>
                <w:rFonts w:hint="eastAsia" w:ascii="宋体" w:hAnsi="宋体" w:cs="宋体"/>
                <w:color w:val="auto"/>
                <w:sz w:val="21"/>
                <w:szCs w:val="21"/>
                <w:highlight w:val="none"/>
                <w:lang w:val="ru-RU"/>
              </w:rPr>
            </w:pPr>
            <w:r>
              <w:rPr>
                <w:rFonts w:hint="eastAsia" w:ascii="宋体" w:hAnsi="宋体" w:cs="宋体"/>
                <w:color w:val="auto"/>
                <w:sz w:val="21"/>
                <w:szCs w:val="21"/>
                <w:highlight w:val="none"/>
                <w:lang w:val="ru-RU"/>
              </w:rPr>
              <w:t>注：</w:t>
            </w:r>
          </w:p>
          <w:p w14:paraId="5DC57328">
            <w:pPr>
              <w:widowControl w:val="0"/>
              <w:wordWrap w:val="0"/>
              <w:snapToGrid w:val="0"/>
              <w:spacing w:before="120" w:beforeLines="50" w:line="360" w:lineRule="auto"/>
              <w:rPr>
                <w:rFonts w:hint="eastAsia" w:ascii="宋体" w:hAnsi="宋体" w:cs="宋体"/>
                <w:color w:val="auto"/>
                <w:sz w:val="21"/>
                <w:szCs w:val="21"/>
                <w:highlight w:val="none"/>
                <w:lang w:val="ru-RU"/>
              </w:rPr>
            </w:pPr>
            <w:r>
              <w:rPr>
                <w:rFonts w:hint="eastAsia" w:ascii="宋体" w:hAnsi="宋体" w:cs="宋体"/>
                <w:color w:val="auto"/>
                <w:sz w:val="21"/>
                <w:szCs w:val="21"/>
                <w:highlight w:val="none"/>
                <w:lang w:val="ru-RU"/>
              </w:rPr>
              <w:t>（1）在需要电子签章的地方进行电子签章，无需逐页电子签章。</w:t>
            </w:r>
          </w:p>
          <w:p w14:paraId="7ADFA463">
            <w:pPr>
              <w:widowControl w:val="0"/>
              <w:wordWrap w:val="0"/>
              <w:snapToGrid w:val="0"/>
              <w:spacing w:before="120" w:beforeLines="50" w:line="360" w:lineRule="auto"/>
              <w:rPr>
                <w:b/>
                <w:color w:val="auto"/>
                <w:sz w:val="21"/>
                <w:szCs w:val="21"/>
                <w:highlight w:val="none"/>
              </w:rPr>
            </w:pPr>
            <w:r>
              <w:rPr>
                <w:rFonts w:hint="eastAsia" w:ascii="宋体" w:hAnsi="宋体" w:cs="宋体"/>
                <w:b/>
                <w:bCs/>
                <w:color w:val="auto"/>
                <w:sz w:val="21"/>
                <w:szCs w:val="21"/>
                <w:highlight w:val="none"/>
                <w:lang w:val="ru-RU"/>
              </w:rPr>
              <w:t>（2）若为联合体投标，供应商的相关签章均指联合体牵头人。联合体协议书或其他需要成员单位签章的材料，成员单位无电子签章的，可由各成员签字盖鲜章后上传至投标文件编制工具软件，再加盖联合体牵头人电子公章即可。</w:t>
            </w:r>
          </w:p>
        </w:tc>
      </w:tr>
      <w:tr w14:paraId="2D548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886" w:type="dxa"/>
            <w:vAlign w:val="center"/>
          </w:tcPr>
          <w:p w14:paraId="07608838">
            <w:pPr>
              <w:spacing w:line="360" w:lineRule="auto"/>
              <w:jc w:val="center"/>
              <w:rPr>
                <w:color w:val="auto"/>
                <w:sz w:val="21"/>
                <w:szCs w:val="21"/>
                <w:highlight w:val="none"/>
              </w:rPr>
            </w:pPr>
            <w:r>
              <w:rPr>
                <w:rFonts w:hint="eastAsia"/>
                <w:color w:val="auto"/>
                <w:sz w:val="21"/>
                <w:szCs w:val="21"/>
                <w:highlight w:val="none"/>
              </w:rPr>
              <w:t>31</w:t>
            </w:r>
          </w:p>
        </w:tc>
        <w:tc>
          <w:tcPr>
            <w:tcW w:w="2368" w:type="dxa"/>
            <w:vAlign w:val="center"/>
          </w:tcPr>
          <w:p w14:paraId="1D566DFD">
            <w:pPr>
              <w:widowControl w:val="0"/>
              <w:wordWrap w:val="0"/>
              <w:snapToGrid w:val="0"/>
              <w:spacing w:before="120" w:beforeLines="50" w:line="360" w:lineRule="auto"/>
              <w:jc w:val="center"/>
              <w:rPr>
                <w:color w:val="auto"/>
                <w:sz w:val="21"/>
                <w:szCs w:val="21"/>
                <w:highlight w:val="none"/>
              </w:rPr>
            </w:pPr>
            <w:r>
              <w:rPr>
                <w:rFonts w:hint="eastAsia" w:ascii="宋体" w:hAnsi="宋体" w:cs="宋体"/>
                <w:color w:val="auto"/>
                <w:sz w:val="21"/>
                <w:szCs w:val="21"/>
                <w:highlight w:val="none"/>
              </w:rPr>
              <w:t>电子</w:t>
            </w:r>
            <w:r>
              <w:rPr>
                <w:rFonts w:hint="eastAsia" w:ascii="宋体" w:hAnsi="宋体"/>
                <w:color w:val="auto"/>
                <w:sz w:val="21"/>
                <w:szCs w:val="21"/>
                <w:highlight w:val="none"/>
              </w:rPr>
              <w:t>竞争性磋商响应文件</w:t>
            </w:r>
            <w:r>
              <w:rPr>
                <w:rFonts w:hint="eastAsia" w:ascii="宋体" w:hAnsi="宋体" w:cs="宋体"/>
                <w:color w:val="auto"/>
                <w:sz w:val="21"/>
                <w:szCs w:val="21"/>
                <w:highlight w:val="none"/>
              </w:rPr>
              <w:t>上传前的加密</w:t>
            </w:r>
          </w:p>
        </w:tc>
        <w:tc>
          <w:tcPr>
            <w:tcW w:w="6655" w:type="dxa"/>
            <w:vAlign w:val="center"/>
          </w:tcPr>
          <w:p w14:paraId="17C64BBE">
            <w:pPr>
              <w:widowControl w:val="0"/>
              <w:wordWrap w:val="0"/>
              <w:snapToGrid w:val="0"/>
              <w:spacing w:before="120" w:beforeLines="50" w:line="360" w:lineRule="auto"/>
              <w:rPr>
                <w:color w:val="auto"/>
                <w:sz w:val="21"/>
                <w:szCs w:val="21"/>
                <w:highlight w:val="none"/>
              </w:rPr>
            </w:pPr>
            <w:r>
              <w:rPr>
                <w:rFonts w:hint="eastAsia" w:ascii="宋体" w:hAnsi="宋体"/>
                <w:color w:val="auto"/>
                <w:sz w:val="21"/>
                <w:szCs w:val="21"/>
                <w:highlight w:val="none"/>
              </w:rPr>
              <w:t>电子竞争性磋商响应文件编制系统提供数字证书（CA）对竞争性磋商响应文件进行加密功能。供应商须对网上递交的竞争性磋商响应文件加密。如果供应商使用某个数字证书（CA）对竞争性磋商响应文件进行了数字证书（CA）加密，在开标时须使用该数字证书（CA）进行解密，才能导入竞争性磋商响应文件，因供应商原因造成竞争性磋商响应文件未解密的，视为撤回其竞争性磋商响应文件，不再进入评审阶段。</w:t>
            </w:r>
          </w:p>
        </w:tc>
      </w:tr>
      <w:tr w14:paraId="35E7B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886" w:type="dxa"/>
            <w:vAlign w:val="center"/>
          </w:tcPr>
          <w:p w14:paraId="1DDD3A72">
            <w:pPr>
              <w:spacing w:line="360" w:lineRule="auto"/>
              <w:jc w:val="center"/>
              <w:rPr>
                <w:color w:val="auto"/>
                <w:sz w:val="21"/>
                <w:szCs w:val="21"/>
                <w:highlight w:val="none"/>
              </w:rPr>
            </w:pPr>
            <w:r>
              <w:rPr>
                <w:rFonts w:hint="eastAsia"/>
                <w:color w:val="auto"/>
                <w:sz w:val="21"/>
                <w:szCs w:val="21"/>
                <w:highlight w:val="none"/>
              </w:rPr>
              <w:t>32</w:t>
            </w:r>
          </w:p>
        </w:tc>
        <w:tc>
          <w:tcPr>
            <w:tcW w:w="2368" w:type="dxa"/>
            <w:vAlign w:val="center"/>
          </w:tcPr>
          <w:p w14:paraId="4B17ED52">
            <w:pPr>
              <w:widowControl w:val="0"/>
              <w:wordWrap w:val="0"/>
              <w:snapToGrid w:val="0"/>
              <w:spacing w:before="120" w:beforeLines="50" w:line="360" w:lineRule="auto"/>
              <w:jc w:val="center"/>
              <w:rPr>
                <w:color w:val="auto"/>
                <w:sz w:val="21"/>
                <w:szCs w:val="21"/>
                <w:highlight w:val="none"/>
              </w:rPr>
            </w:pPr>
            <w:r>
              <w:rPr>
                <w:rFonts w:hint="eastAsia" w:ascii="宋体" w:hAnsi="宋体" w:cs="宋体"/>
                <w:color w:val="auto"/>
                <w:sz w:val="21"/>
                <w:szCs w:val="21"/>
                <w:highlight w:val="none"/>
              </w:rPr>
              <w:t>竞争性磋商响应文件的递交</w:t>
            </w:r>
          </w:p>
        </w:tc>
        <w:tc>
          <w:tcPr>
            <w:tcW w:w="6655" w:type="dxa"/>
            <w:vAlign w:val="center"/>
          </w:tcPr>
          <w:p w14:paraId="6FF84EAF">
            <w:pPr>
              <w:wordWrap w:val="0"/>
              <w:spacing w:before="120" w:beforeLines="50"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供应商登录“阳光臻达电子招投标交易平台”于竞争性磋商响应文件递交截止时间前，将加密的电子竞争性磋商响应文件按照电子交易平台要求的步骤上传全部电子竞争性磋商响应文件。</w:t>
            </w:r>
          </w:p>
          <w:p w14:paraId="23EF7EFF">
            <w:pPr>
              <w:widowControl w:val="0"/>
              <w:wordWrap w:val="0"/>
              <w:snapToGrid w:val="0"/>
              <w:spacing w:before="120" w:beforeLines="50" w:line="360" w:lineRule="auto"/>
              <w:rPr>
                <w:color w:val="auto"/>
                <w:sz w:val="21"/>
                <w:szCs w:val="21"/>
                <w:highlight w:val="none"/>
              </w:rPr>
            </w:pPr>
            <w:r>
              <w:rPr>
                <w:rFonts w:hint="eastAsia" w:ascii="宋体" w:hAnsi="宋体" w:cs="宋体"/>
                <w:color w:val="auto"/>
                <w:sz w:val="21"/>
                <w:szCs w:val="21"/>
                <w:highlight w:val="none"/>
              </w:rPr>
              <w:t>上传前须自行检查电子竞争性磋商响应文件的完整性。竞争性磋商响应文件递交截止时间前未完成电子竞争性磋商响应文件上传的，视为未递交竞争性磋商响应文件。</w:t>
            </w:r>
          </w:p>
        </w:tc>
      </w:tr>
      <w:tr w14:paraId="2FAAE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886" w:type="dxa"/>
            <w:vAlign w:val="center"/>
          </w:tcPr>
          <w:p w14:paraId="14F1937C">
            <w:pPr>
              <w:spacing w:line="360" w:lineRule="auto"/>
              <w:jc w:val="center"/>
              <w:rPr>
                <w:color w:val="auto"/>
                <w:sz w:val="21"/>
                <w:szCs w:val="21"/>
                <w:highlight w:val="none"/>
              </w:rPr>
            </w:pPr>
            <w:r>
              <w:rPr>
                <w:rFonts w:hint="eastAsia"/>
                <w:color w:val="auto"/>
                <w:sz w:val="21"/>
                <w:szCs w:val="21"/>
                <w:highlight w:val="none"/>
              </w:rPr>
              <w:t>33</w:t>
            </w:r>
          </w:p>
        </w:tc>
        <w:tc>
          <w:tcPr>
            <w:tcW w:w="2368" w:type="dxa"/>
            <w:vAlign w:val="center"/>
          </w:tcPr>
          <w:p w14:paraId="12B3BEF6">
            <w:pPr>
              <w:widowControl w:val="0"/>
              <w:wordWrap w:val="0"/>
              <w:snapToGrid w:val="0"/>
              <w:spacing w:before="120" w:beforeLines="50" w:line="360" w:lineRule="auto"/>
              <w:jc w:val="center"/>
              <w:rPr>
                <w:color w:val="auto"/>
                <w:sz w:val="21"/>
                <w:szCs w:val="21"/>
                <w:highlight w:val="none"/>
              </w:rPr>
            </w:pPr>
            <w:r>
              <w:rPr>
                <w:rFonts w:hint="eastAsia" w:ascii="宋体" w:hAnsi="宋体" w:cs="宋体"/>
                <w:color w:val="auto"/>
                <w:sz w:val="21"/>
                <w:szCs w:val="21"/>
                <w:highlight w:val="none"/>
              </w:rPr>
              <w:t>磋商时间和地点</w:t>
            </w:r>
          </w:p>
        </w:tc>
        <w:tc>
          <w:tcPr>
            <w:tcW w:w="6655" w:type="dxa"/>
            <w:vAlign w:val="center"/>
          </w:tcPr>
          <w:p w14:paraId="14B19EB7">
            <w:pPr>
              <w:widowControl w:val="0"/>
              <w:wordWrap w:val="0"/>
              <w:snapToGrid w:val="0"/>
              <w:spacing w:before="120" w:beforeLines="50"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开标时间：同磋商截止时间。</w:t>
            </w:r>
          </w:p>
          <w:p w14:paraId="7D22808F">
            <w:pPr>
              <w:widowControl w:val="0"/>
              <w:wordWrap w:val="0"/>
              <w:snapToGrid w:val="0"/>
              <w:spacing w:before="120" w:beforeLines="50" w:line="360" w:lineRule="auto"/>
              <w:rPr>
                <w:color w:val="auto"/>
                <w:sz w:val="21"/>
                <w:szCs w:val="21"/>
                <w:highlight w:val="none"/>
              </w:rPr>
            </w:pPr>
            <w:r>
              <w:rPr>
                <w:rFonts w:hint="eastAsia" w:ascii="宋体" w:hAnsi="宋体" w:cs="宋体"/>
                <w:color w:val="auto"/>
                <w:sz w:val="21"/>
                <w:szCs w:val="21"/>
                <w:highlight w:val="none"/>
              </w:rPr>
              <w:t>开标地点：昆明晨晟招标有限责任公司（昆明市世博路16号世博生态城低碳中心B座1单元12层）会议室。</w:t>
            </w:r>
          </w:p>
        </w:tc>
      </w:tr>
      <w:tr w14:paraId="4F069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886" w:type="dxa"/>
            <w:vAlign w:val="center"/>
          </w:tcPr>
          <w:p w14:paraId="49D2D342">
            <w:pPr>
              <w:spacing w:line="360" w:lineRule="auto"/>
              <w:jc w:val="center"/>
              <w:rPr>
                <w:color w:val="auto"/>
                <w:sz w:val="21"/>
                <w:szCs w:val="21"/>
                <w:highlight w:val="none"/>
              </w:rPr>
            </w:pPr>
            <w:r>
              <w:rPr>
                <w:rFonts w:hint="eastAsia"/>
                <w:color w:val="auto"/>
                <w:sz w:val="21"/>
                <w:szCs w:val="21"/>
                <w:highlight w:val="none"/>
              </w:rPr>
              <w:t>34</w:t>
            </w:r>
          </w:p>
        </w:tc>
        <w:tc>
          <w:tcPr>
            <w:tcW w:w="2368" w:type="dxa"/>
            <w:vAlign w:val="center"/>
          </w:tcPr>
          <w:p w14:paraId="37FF7287">
            <w:pPr>
              <w:widowControl w:val="0"/>
              <w:wordWrap w:val="0"/>
              <w:snapToGrid w:val="0"/>
              <w:spacing w:before="120" w:beforeLines="50" w:line="360" w:lineRule="auto"/>
              <w:jc w:val="center"/>
              <w:rPr>
                <w:color w:val="auto"/>
                <w:sz w:val="21"/>
                <w:szCs w:val="21"/>
                <w:highlight w:val="none"/>
              </w:rPr>
            </w:pPr>
            <w:r>
              <w:rPr>
                <w:rFonts w:hint="eastAsia" w:ascii="宋体" w:hAnsi="宋体" w:cs="宋体"/>
                <w:color w:val="auto"/>
                <w:sz w:val="21"/>
                <w:szCs w:val="21"/>
                <w:highlight w:val="none"/>
              </w:rPr>
              <w:t>磋商程序</w:t>
            </w:r>
          </w:p>
        </w:tc>
        <w:tc>
          <w:tcPr>
            <w:tcW w:w="6655" w:type="dxa"/>
            <w:vAlign w:val="center"/>
          </w:tcPr>
          <w:p w14:paraId="5DD97FEE">
            <w:pPr>
              <w:widowControl w:val="0"/>
              <w:wordWrap w:val="0"/>
              <w:snapToGrid w:val="0"/>
              <w:spacing w:before="120" w:beforeLines="50"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（l）宣布开标纪律；</w:t>
            </w:r>
          </w:p>
          <w:p w14:paraId="7C0DB3F6">
            <w:pPr>
              <w:widowControl w:val="0"/>
              <w:wordWrap w:val="0"/>
              <w:snapToGrid w:val="0"/>
              <w:spacing w:before="120" w:beforeLines="50"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（2）电子招投标交易平台开标系统自动检查加密情况；</w:t>
            </w:r>
          </w:p>
          <w:p w14:paraId="34BDD0CA">
            <w:pPr>
              <w:widowControl w:val="0"/>
              <w:wordWrap w:val="0"/>
              <w:snapToGrid w:val="0"/>
              <w:spacing w:before="120" w:beforeLines="50"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（3）按照电子招投标交易平台自动提取的投标信息，由供应商对网上递交加密的竞争性磋商响应文件进行现场解密；</w:t>
            </w:r>
          </w:p>
          <w:p w14:paraId="70FFA8ED">
            <w:pPr>
              <w:widowControl w:val="0"/>
              <w:wordWrap w:val="0"/>
              <w:snapToGrid w:val="0"/>
              <w:spacing w:before="120" w:beforeLines="50"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（4）解密完成后，公布供应商名称、磋商报价、质量目标、项目工期及其他内容，并记录在案。因供应商原因造成竞争性磋商响应文件未解密的，视为撤销其竞争性磋商响应文件；</w:t>
            </w:r>
          </w:p>
          <w:p w14:paraId="1B007A3F">
            <w:pPr>
              <w:wordWrap w:val="0"/>
              <w:spacing w:before="120" w:beforeLines="50"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（5）供应商代表、发包人代表、监督人等有关人员在开标记录上签字（签章）确认；</w:t>
            </w:r>
          </w:p>
          <w:p w14:paraId="7C5E76F5">
            <w:pPr>
              <w:widowControl w:val="0"/>
              <w:wordWrap w:val="0"/>
              <w:snapToGrid w:val="0"/>
              <w:spacing w:before="120" w:beforeLines="50" w:line="360" w:lineRule="auto"/>
              <w:rPr>
                <w:color w:val="auto"/>
                <w:sz w:val="21"/>
                <w:szCs w:val="21"/>
                <w:highlight w:val="none"/>
              </w:rPr>
            </w:pPr>
            <w:r>
              <w:rPr>
                <w:rFonts w:hint="eastAsia" w:ascii="宋体" w:hAnsi="宋体" w:cs="宋体"/>
                <w:color w:val="auto"/>
                <w:sz w:val="21"/>
                <w:szCs w:val="21"/>
                <w:highlight w:val="none"/>
              </w:rPr>
              <w:t>（</w:t>
            </w:r>
            <w:r>
              <w:rPr>
                <w:rFonts w:ascii="宋体" w:hAnsi="宋体" w:cs="宋体"/>
                <w:color w:val="auto"/>
                <w:sz w:val="21"/>
                <w:szCs w:val="21"/>
                <w:highlight w:val="none"/>
              </w:rPr>
              <w:t>6</w:t>
            </w:r>
            <w:r>
              <w:rPr>
                <w:rFonts w:hint="eastAsia" w:ascii="宋体" w:hAnsi="宋体" w:cs="宋体"/>
                <w:color w:val="auto"/>
                <w:sz w:val="21"/>
                <w:szCs w:val="21"/>
                <w:highlight w:val="none"/>
              </w:rPr>
              <w:t>）开标结束。</w:t>
            </w:r>
          </w:p>
        </w:tc>
      </w:tr>
      <w:tr w14:paraId="1170D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jc w:val="center"/>
        </w:trPr>
        <w:tc>
          <w:tcPr>
            <w:tcW w:w="886" w:type="dxa"/>
            <w:vAlign w:val="center"/>
          </w:tcPr>
          <w:p w14:paraId="4BF8742B">
            <w:pPr>
              <w:spacing w:line="360" w:lineRule="auto"/>
              <w:jc w:val="center"/>
              <w:rPr>
                <w:color w:val="auto"/>
                <w:sz w:val="21"/>
                <w:szCs w:val="21"/>
                <w:highlight w:val="none"/>
              </w:rPr>
            </w:pPr>
            <w:r>
              <w:rPr>
                <w:rFonts w:hint="eastAsia"/>
                <w:color w:val="auto"/>
                <w:sz w:val="21"/>
                <w:szCs w:val="21"/>
                <w:highlight w:val="none"/>
              </w:rPr>
              <w:t>35</w:t>
            </w:r>
          </w:p>
        </w:tc>
        <w:tc>
          <w:tcPr>
            <w:tcW w:w="2368" w:type="dxa"/>
            <w:vAlign w:val="center"/>
          </w:tcPr>
          <w:p w14:paraId="158D74C8">
            <w:pPr>
              <w:spacing w:line="360" w:lineRule="auto"/>
              <w:jc w:val="center"/>
              <w:rPr>
                <w:color w:val="auto"/>
                <w:sz w:val="21"/>
                <w:szCs w:val="21"/>
                <w:highlight w:val="none"/>
              </w:rPr>
            </w:pPr>
            <w:r>
              <w:rPr>
                <w:rFonts w:hint="eastAsia"/>
                <w:color w:val="auto"/>
                <w:sz w:val="21"/>
                <w:szCs w:val="21"/>
                <w:highlight w:val="none"/>
              </w:rPr>
              <w:t>是否授权磋商小组确定成交人</w:t>
            </w:r>
          </w:p>
        </w:tc>
        <w:tc>
          <w:tcPr>
            <w:tcW w:w="6655" w:type="dxa"/>
            <w:vAlign w:val="center"/>
          </w:tcPr>
          <w:p w14:paraId="6EC5EA5B">
            <w:pPr>
              <w:spacing w:line="360" w:lineRule="auto"/>
              <w:jc w:val="both"/>
              <w:rPr>
                <w:color w:val="auto"/>
                <w:sz w:val="21"/>
                <w:szCs w:val="21"/>
                <w:highlight w:val="none"/>
              </w:rPr>
            </w:pPr>
            <w:r>
              <w:rPr>
                <w:rFonts w:hint="eastAsia"/>
                <w:color w:val="auto"/>
                <w:sz w:val="21"/>
                <w:szCs w:val="21"/>
                <w:highlight w:val="none"/>
              </w:rPr>
              <w:t>否；</w:t>
            </w:r>
          </w:p>
          <w:p w14:paraId="39BC8CC3">
            <w:pPr>
              <w:spacing w:line="360" w:lineRule="auto"/>
              <w:jc w:val="both"/>
              <w:rPr>
                <w:color w:val="auto"/>
                <w:sz w:val="21"/>
                <w:szCs w:val="21"/>
                <w:highlight w:val="none"/>
              </w:rPr>
            </w:pPr>
            <w:r>
              <w:rPr>
                <w:rFonts w:hint="eastAsia"/>
                <w:color w:val="auto"/>
                <w:sz w:val="21"/>
                <w:szCs w:val="21"/>
                <w:highlight w:val="none"/>
              </w:rPr>
              <w:t>磋商小组按照最后得分由高到低顺序推荐1~3名成交候选人</w:t>
            </w:r>
          </w:p>
        </w:tc>
      </w:tr>
      <w:tr w14:paraId="3648B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886" w:type="dxa"/>
            <w:vAlign w:val="center"/>
          </w:tcPr>
          <w:p w14:paraId="3100833C">
            <w:pPr>
              <w:spacing w:line="360" w:lineRule="auto"/>
              <w:jc w:val="center"/>
              <w:rPr>
                <w:color w:val="auto"/>
                <w:sz w:val="21"/>
                <w:szCs w:val="21"/>
                <w:highlight w:val="none"/>
              </w:rPr>
            </w:pPr>
            <w:r>
              <w:rPr>
                <w:rFonts w:hint="eastAsia"/>
                <w:color w:val="auto"/>
                <w:sz w:val="21"/>
                <w:szCs w:val="21"/>
                <w:highlight w:val="none"/>
              </w:rPr>
              <w:t>36</w:t>
            </w:r>
          </w:p>
        </w:tc>
        <w:tc>
          <w:tcPr>
            <w:tcW w:w="2368" w:type="dxa"/>
            <w:vAlign w:val="center"/>
          </w:tcPr>
          <w:p w14:paraId="7BB75B9A">
            <w:pPr>
              <w:spacing w:line="360" w:lineRule="auto"/>
              <w:jc w:val="center"/>
              <w:rPr>
                <w:color w:val="auto"/>
                <w:sz w:val="21"/>
                <w:szCs w:val="21"/>
                <w:highlight w:val="none"/>
              </w:rPr>
            </w:pPr>
            <w:r>
              <w:rPr>
                <w:rFonts w:hint="eastAsia"/>
                <w:color w:val="auto"/>
                <w:sz w:val="21"/>
                <w:szCs w:val="21"/>
                <w:highlight w:val="none"/>
              </w:rPr>
              <w:t>履约担保</w:t>
            </w:r>
          </w:p>
        </w:tc>
        <w:tc>
          <w:tcPr>
            <w:tcW w:w="6655" w:type="dxa"/>
            <w:vAlign w:val="center"/>
          </w:tcPr>
          <w:p w14:paraId="444215BC">
            <w:pPr>
              <w:spacing w:line="360" w:lineRule="auto"/>
              <w:rPr>
                <w:color w:val="auto"/>
                <w:sz w:val="21"/>
                <w:szCs w:val="21"/>
                <w:highlight w:val="none"/>
              </w:rPr>
            </w:pPr>
            <w:r>
              <w:rPr>
                <w:rFonts w:hint="eastAsia"/>
                <w:color w:val="auto"/>
                <w:sz w:val="21"/>
                <w:szCs w:val="21"/>
                <w:highlight w:val="none"/>
              </w:rPr>
              <w:t>无。</w:t>
            </w:r>
          </w:p>
        </w:tc>
      </w:tr>
      <w:tr w14:paraId="0AB99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886" w:type="dxa"/>
            <w:vAlign w:val="center"/>
          </w:tcPr>
          <w:p w14:paraId="1DD32949">
            <w:pPr>
              <w:spacing w:line="360" w:lineRule="auto"/>
              <w:jc w:val="center"/>
              <w:rPr>
                <w:color w:val="auto"/>
                <w:sz w:val="21"/>
                <w:szCs w:val="21"/>
                <w:highlight w:val="none"/>
              </w:rPr>
            </w:pPr>
            <w:r>
              <w:rPr>
                <w:rFonts w:hint="eastAsia"/>
                <w:color w:val="auto"/>
                <w:sz w:val="21"/>
                <w:szCs w:val="21"/>
                <w:highlight w:val="none"/>
              </w:rPr>
              <w:t>37</w:t>
            </w:r>
          </w:p>
        </w:tc>
        <w:tc>
          <w:tcPr>
            <w:tcW w:w="2368" w:type="dxa"/>
            <w:vAlign w:val="center"/>
          </w:tcPr>
          <w:p w14:paraId="48E3870C">
            <w:pPr>
              <w:spacing w:line="360" w:lineRule="auto"/>
              <w:jc w:val="center"/>
              <w:rPr>
                <w:color w:val="auto"/>
                <w:sz w:val="21"/>
                <w:szCs w:val="21"/>
                <w:highlight w:val="none"/>
              </w:rPr>
            </w:pPr>
            <w:r>
              <w:rPr>
                <w:rFonts w:hint="eastAsia"/>
                <w:color w:val="auto"/>
                <w:sz w:val="21"/>
                <w:szCs w:val="21"/>
                <w:highlight w:val="none"/>
              </w:rPr>
              <w:t>成交结果公示</w:t>
            </w:r>
          </w:p>
        </w:tc>
        <w:tc>
          <w:tcPr>
            <w:tcW w:w="6655" w:type="dxa"/>
            <w:vAlign w:val="center"/>
          </w:tcPr>
          <w:p w14:paraId="5BC0B3AB">
            <w:pPr>
              <w:spacing w:line="360" w:lineRule="auto"/>
              <w:rPr>
                <w:color w:val="auto"/>
                <w:sz w:val="21"/>
                <w:szCs w:val="21"/>
                <w:highlight w:val="none"/>
              </w:rPr>
            </w:pPr>
            <w:r>
              <w:rPr>
                <w:rFonts w:hint="eastAsia"/>
                <w:color w:val="auto"/>
                <w:sz w:val="21"/>
                <w:szCs w:val="21"/>
                <w:highlight w:val="none"/>
              </w:rPr>
              <w:t>在成交通知书发出前，发包人（招标代理机构）将成交候选人的情况以竞争性磋商公告发布的网站上公示的方式通知供应商。</w:t>
            </w:r>
          </w:p>
        </w:tc>
      </w:tr>
      <w:tr w14:paraId="42C98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886" w:type="dxa"/>
            <w:vAlign w:val="center"/>
          </w:tcPr>
          <w:p w14:paraId="0E12FB50">
            <w:pPr>
              <w:spacing w:line="360" w:lineRule="auto"/>
              <w:jc w:val="center"/>
              <w:rPr>
                <w:color w:val="auto"/>
                <w:sz w:val="21"/>
                <w:szCs w:val="21"/>
                <w:highlight w:val="none"/>
              </w:rPr>
            </w:pPr>
            <w:r>
              <w:rPr>
                <w:rFonts w:hint="eastAsia"/>
                <w:color w:val="auto"/>
                <w:sz w:val="21"/>
                <w:szCs w:val="21"/>
                <w:highlight w:val="none"/>
              </w:rPr>
              <w:t>38</w:t>
            </w:r>
          </w:p>
        </w:tc>
        <w:tc>
          <w:tcPr>
            <w:tcW w:w="2368" w:type="dxa"/>
            <w:vAlign w:val="center"/>
          </w:tcPr>
          <w:p w14:paraId="093FE04B">
            <w:pPr>
              <w:spacing w:line="360" w:lineRule="auto"/>
              <w:jc w:val="center"/>
              <w:rPr>
                <w:rFonts w:hint="eastAsia" w:ascii="宋体" w:hAnsi="宋体"/>
                <w:color w:val="auto"/>
                <w:sz w:val="21"/>
                <w:szCs w:val="21"/>
                <w:highlight w:val="none"/>
              </w:rPr>
            </w:pPr>
            <w:r>
              <w:rPr>
                <w:rFonts w:hint="eastAsia" w:ascii="宋体" w:hAnsi="宋体"/>
                <w:color w:val="auto"/>
                <w:sz w:val="21"/>
                <w:szCs w:val="21"/>
                <w:highlight w:val="none"/>
              </w:rPr>
              <w:t>评定办法</w:t>
            </w:r>
          </w:p>
        </w:tc>
        <w:tc>
          <w:tcPr>
            <w:tcW w:w="6655" w:type="dxa"/>
            <w:vAlign w:val="center"/>
          </w:tcPr>
          <w:p w14:paraId="728C4182">
            <w:pPr>
              <w:spacing w:line="360" w:lineRule="auto"/>
              <w:jc w:val="both"/>
              <w:rPr>
                <w:rFonts w:hint="eastAsia" w:ascii="宋体" w:hAnsi="宋体"/>
                <w:color w:val="auto"/>
                <w:sz w:val="21"/>
                <w:szCs w:val="21"/>
                <w:highlight w:val="none"/>
              </w:rPr>
            </w:pPr>
            <w:r>
              <w:rPr>
                <w:rFonts w:hint="eastAsia" w:ascii="宋体" w:hAnsi="宋体"/>
                <w:color w:val="auto"/>
                <w:sz w:val="21"/>
                <w:szCs w:val="21"/>
                <w:highlight w:val="none"/>
              </w:rPr>
              <w:t>综合评分法；</w:t>
            </w:r>
          </w:p>
          <w:p w14:paraId="09BA1523">
            <w:pPr>
              <w:spacing w:line="360" w:lineRule="auto"/>
              <w:jc w:val="both"/>
              <w:rPr>
                <w:rFonts w:hint="eastAsia" w:ascii="宋体" w:hAnsi="宋体"/>
                <w:color w:val="auto"/>
                <w:sz w:val="21"/>
                <w:szCs w:val="21"/>
                <w:highlight w:val="none"/>
              </w:rPr>
            </w:pPr>
            <w:r>
              <w:rPr>
                <w:rFonts w:hint="eastAsia" w:ascii="宋体" w:hAnsi="宋体" w:cs="宋体"/>
                <w:color w:val="auto"/>
                <w:sz w:val="21"/>
                <w:szCs w:val="21"/>
                <w:highlight w:val="none"/>
              </w:rPr>
              <w:t>磋商小组按照最终得分由高到低的顺序推荐成交候选人。</w:t>
            </w:r>
          </w:p>
        </w:tc>
      </w:tr>
      <w:tr w14:paraId="657DC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886" w:type="dxa"/>
            <w:vAlign w:val="center"/>
          </w:tcPr>
          <w:p w14:paraId="48F59DEC">
            <w:pPr>
              <w:spacing w:line="360" w:lineRule="auto"/>
              <w:jc w:val="center"/>
              <w:rPr>
                <w:color w:val="auto"/>
                <w:sz w:val="21"/>
                <w:szCs w:val="21"/>
                <w:highlight w:val="none"/>
              </w:rPr>
            </w:pPr>
            <w:r>
              <w:rPr>
                <w:rFonts w:hint="eastAsia"/>
                <w:color w:val="auto"/>
                <w:sz w:val="21"/>
                <w:szCs w:val="21"/>
                <w:highlight w:val="none"/>
              </w:rPr>
              <w:t>39</w:t>
            </w:r>
          </w:p>
        </w:tc>
        <w:tc>
          <w:tcPr>
            <w:tcW w:w="9023" w:type="dxa"/>
            <w:gridSpan w:val="2"/>
            <w:vAlign w:val="center"/>
          </w:tcPr>
          <w:p w14:paraId="11B846B8">
            <w:pPr>
              <w:spacing w:line="360" w:lineRule="auto"/>
              <w:jc w:val="center"/>
              <w:rPr>
                <w:rFonts w:hint="eastAsia" w:ascii="宋体" w:hAnsi="宋体"/>
                <w:color w:val="auto"/>
                <w:sz w:val="21"/>
                <w:szCs w:val="21"/>
                <w:highlight w:val="none"/>
              </w:rPr>
            </w:pPr>
            <w:r>
              <w:rPr>
                <w:rFonts w:hint="eastAsia"/>
                <w:b/>
                <w:color w:val="auto"/>
                <w:sz w:val="24"/>
                <w:highlight w:val="none"/>
              </w:rPr>
              <w:t>需要补充的其他内容</w:t>
            </w:r>
          </w:p>
        </w:tc>
      </w:tr>
      <w:tr w14:paraId="7D212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3" w:hRule="atLeast"/>
          <w:jc w:val="center"/>
        </w:trPr>
        <w:tc>
          <w:tcPr>
            <w:tcW w:w="886" w:type="dxa"/>
            <w:vAlign w:val="center"/>
          </w:tcPr>
          <w:p w14:paraId="2666B254">
            <w:pPr>
              <w:spacing w:line="360" w:lineRule="auto"/>
              <w:jc w:val="center"/>
              <w:rPr>
                <w:color w:val="auto"/>
                <w:sz w:val="21"/>
                <w:szCs w:val="21"/>
                <w:highlight w:val="none"/>
              </w:rPr>
            </w:pPr>
            <w:r>
              <w:rPr>
                <w:rFonts w:hint="eastAsia"/>
                <w:color w:val="auto"/>
                <w:sz w:val="21"/>
                <w:szCs w:val="21"/>
                <w:highlight w:val="none"/>
              </w:rPr>
              <w:t>39.1</w:t>
            </w:r>
          </w:p>
        </w:tc>
        <w:tc>
          <w:tcPr>
            <w:tcW w:w="9023" w:type="dxa"/>
            <w:gridSpan w:val="2"/>
            <w:vAlign w:val="center"/>
          </w:tcPr>
          <w:p w14:paraId="4CD40719">
            <w:pPr>
              <w:spacing w:line="360" w:lineRule="auto"/>
              <w:rPr>
                <w:color w:val="auto"/>
                <w:sz w:val="21"/>
                <w:szCs w:val="21"/>
                <w:highlight w:val="none"/>
              </w:rPr>
            </w:pPr>
            <w:r>
              <w:rPr>
                <w:rFonts w:hint="eastAsia"/>
                <w:color w:val="auto"/>
                <w:sz w:val="21"/>
                <w:szCs w:val="21"/>
                <w:highlight w:val="none"/>
              </w:rPr>
              <w:t>成交价：以成交的供应商在磋商过程中提交并经磋商小组确认的二次报价（最终报价）为准。无论是采用综合评分法还是最低评标价法，都不保证报价最低的供应商成交，也不解释原因。</w:t>
            </w:r>
          </w:p>
        </w:tc>
      </w:tr>
      <w:tr w14:paraId="384D5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9909" w:type="dxa"/>
            <w:gridSpan w:val="3"/>
            <w:vAlign w:val="center"/>
          </w:tcPr>
          <w:p w14:paraId="7C071F6B">
            <w:pPr>
              <w:spacing w:line="360" w:lineRule="auto"/>
              <w:ind w:firstLine="210" w:firstLineChars="100"/>
              <w:jc w:val="both"/>
              <w:rPr>
                <w:rFonts w:hint="eastAsia" w:ascii="宋体" w:hAnsi="宋体"/>
                <w:color w:val="auto"/>
                <w:sz w:val="21"/>
                <w:szCs w:val="21"/>
                <w:highlight w:val="none"/>
              </w:rPr>
            </w:pPr>
            <w:r>
              <w:rPr>
                <w:rFonts w:hint="eastAsia"/>
                <w:color w:val="auto"/>
                <w:sz w:val="21"/>
                <w:szCs w:val="21"/>
                <w:highlight w:val="none"/>
              </w:rPr>
              <w:t>39.2开标会（供应商无需到现场参加开标会议）</w:t>
            </w:r>
          </w:p>
        </w:tc>
      </w:tr>
      <w:tr w14:paraId="15AC0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4" w:hRule="atLeast"/>
          <w:jc w:val="center"/>
        </w:trPr>
        <w:tc>
          <w:tcPr>
            <w:tcW w:w="886" w:type="dxa"/>
            <w:vAlign w:val="center"/>
          </w:tcPr>
          <w:p w14:paraId="09803A3D">
            <w:pPr>
              <w:spacing w:line="360" w:lineRule="auto"/>
              <w:jc w:val="center"/>
              <w:rPr>
                <w:color w:val="auto"/>
                <w:sz w:val="21"/>
                <w:szCs w:val="21"/>
                <w:highlight w:val="none"/>
              </w:rPr>
            </w:pPr>
          </w:p>
        </w:tc>
        <w:tc>
          <w:tcPr>
            <w:tcW w:w="9023" w:type="dxa"/>
            <w:gridSpan w:val="2"/>
            <w:vAlign w:val="center"/>
          </w:tcPr>
          <w:p w14:paraId="1746E42B">
            <w:pPr>
              <w:spacing w:line="360" w:lineRule="auto"/>
              <w:jc w:val="both"/>
              <w:rPr>
                <w:rFonts w:hint="eastAsia" w:ascii="宋体" w:hAnsi="宋体"/>
                <w:color w:val="auto"/>
                <w:sz w:val="21"/>
                <w:szCs w:val="21"/>
                <w:highlight w:val="none"/>
              </w:rPr>
            </w:pPr>
            <w:r>
              <w:rPr>
                <w:rFonts w:hint="eastAsia"/>
                <w:color w:val="auto"/>
                <w:sz w:val="21"/>
                <w:szCs w:val="21"/>
                <w:highlight w:val="none"/>
              </w:rPr>
              <w:t>供应商无需到现场参加开标会议。供应商须在竞争性磋商文件规定的投标截止时间前登录“网上开标室”，根据网上远程解密、开标的要求，在规定的时间完成在线签到、解密、开标一览表确认等操作。若供应商未在规定时间完成相关操作，则视为撤销其竞争性磋商响应文件，不再进入评审阶段。</w:t>
            </w:r>
          </w:p>
        </w:tc>
      </w:tr>
      <w:tr w14:paraId="133C3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jc w:val="center"/>
        </w:trPr>
        <w:tc>
          <w:tcPr>
            <w:tcW w:w="886" w:type="dxa"/>
            <w:vAlign w:val="center"/>
          </w:tcPr>
          <w:p w14:paraId="048822D7">
            <w:pPr>
              <w:spacing w:line="360" w:lineRule="auto"/>
              <w:jc w:val="center"/>
              <w:rPr>
                <w:color w:val="auto"/>
                <w:sz w:val="21"/>
                <w:szCs w:val="21"/>
                <w:highlight w:val="none"/>
              </w:rPr>
            </w:pPr>
          </w:p>
        </w:tc>
        <w:tc>
          <w:tcPr>
            <w:tcW w:w="9023" w:type="dxa"/>
            <w:gridSpan w:val="2"/>
            <w:vAlign w:val="center"/>
          </w:tcPr>
          <w:p w14:paraId="75AD44FB">
            <w:pPr>
              <w:spacing w:line="360" w:lineRule="auto"/>
              <w:jc w:val="both"/>
              <w:rPr>
                <w:rFonts w:hint="eastAsia" w:ascii="宋体" w:hAnsi="宋体"/>
                <w:color w:val="auto"/>
                <w:sz w:val="21"/>
                <w:szCs w:val="21"/>
                <w:highlight w:val="none"/>
              </w:rPr>
            </w:pPr>
            <w:r>
              <w:rPr>
                <w:rFonts w:hint="eastAsia"/>
                <w:color w:val="auto"/>
                <w:sz w:val="21"/>
                <w:szCs w:val="21"/>
                <w:highlight w:val="none"/>
              </w:rPr>
              <w:t>自购买竞争性磋商文件之日起，各潜在供应商应保证其提供的联系方式（电话、传真、电子邮件）一直有效，以保证往来函件（竞争性磋商文件的澄清、修改等）能及时通知供应商，并能及时反馈信息，否则发包人不承担由此引起的一切后果。</w:t>
            </w:r>
          </w:p>
        </w:tc>
      </w:tr>
      <w:tr w14:paraId="3C5E3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9909" w:type="dxa"/>
            <w:gridSpan w:val="3"/>
            <w:vAlign w:val="center"/>
          </w:tcPr>
          <w:p w14:paraId="0836E0E4">
            <w:pPr>
              <w:spacing w:line="360" w:lineRule="auto"/>
              <w:ind w:firstLine="210" w:firstLineChars="100"/>
              <w:jc w:val="both"/>
              <w:rPr>
                <w:rFonts w:hint="eastAsia" w:ascii="宋体" w:hAnsi="宋体"/>
                <w:color w:val="auto"/>
                <w:sz w:val="21"/>
                <w:szCs w:val="21"/>
                <w:highlight w:val="none"/>
              </w:rPr>
            </w:pPr>
            <w:r>
              <w:rPr>
                <w:rFonts w:hint="eastAsia"/>
                <w:color w:val="auto"/>
                <w:sz w:val="21"/>
                <w:szCs w:val="21"/>
                <w:highlight w:val="none"/>
              </w:rPr>
              <w:t>39.3 响应文件的真实性</w:t>
            </w:r>
          </w:p>
        </w:tc>
      </w:tr>
      <w:tr w14:paraId="094C9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886" w:type="dxa"/>
            <w:vAlign w:val="center"/>
          </w:tcPr>
          <w:p w14:paraId="066F292D">
            <w:pPr>
              <w:spacing w:line="360" w:lineRule="auto"/>
              <w:jc w:val="center"/>
              <w:rPr>
                <w:color w:val="auto"/>
                <w:sz w:val="21"/>
                <w:szCs w:val="21"/>
                <w:highlight w:val="none"/>
              </w:rPr>
            </w:pPr>
          </w:p>
        </w:tc>
        <w:tc>
          <w:tcPr>
            <w:tcW w:w="9023" w:type="dxa"/>
            <w:gridSpan w:val="2"/>
            <w:vAlign w:val="center"/>
          </w:tcPr>
          <w:p w14:paraId="718B5519">
            <w:pPr>
              <w:spacing w:line="360" w:lineRule="auto"/>
              <w:rPr>
                <w:color w:val="auto"/>
                <w:sz w:val="21"/>
                <w:szCs w:val="21"/>
                <w:highlight w:val="none"/>
              </w:rPr>
            </w:pPr>
            <w:r>
              <w:rPr>
                <w:rFonts w:hint="eastAsia"/>
                <w:color w:val="auto"/>
                <w:sz w:val="21"/>
                <w:szCs w:val="21"/>
                <w:highlight w:val="none"/>
              </w:rPr>
              <w:t>供应商所递交的响应文件（包括有关资料、澄清）应真实可信，不存在虚假（包括隐瞒）。供应商声明不存在被限制投标情形但被发现存在限制投标情形的，构成隐瞒，属于虚假投标行为。如响应文件存在虚假的，在评审阶段，磋商小组应将否决其投标；在成交候选人确定后发现的，发包人可以取消成交候选人的成交资格。</w:t>
            </w:r>
          </w:p>
        </w:tc>
      </w:tr>
      <w:tr w14:paraId="11CB7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9909" w:type="dxa"/>
            <w:gridSpan w:val="3"/>
            <w:vAlign w:val="center"/>
          </w:tcPr>
          <w:p w14:paraId="596EFC21">
            <w:pPr>
              <w:spacing w:line="360" w:lineRule="auto"/>
              <w:ind w:firstLine="210" w:firstLineChars="100"/>
              <w:jc w:val="both"/>
              <w:rPr>
                <w:rFonts w:hint="eastAsia" w:ascii="宋体" w:hAnsi="宋体"/>
                <w:color w:val="auto"/>
                <w:sz w:val="21"/>
                <w:szCs w:val="21"/>
                <w:highlight w:val="none"/>
              </w:rPr>
            </w:pPr>
            <w:r>
              <w:rPr>
                <w:rFonts w:hint="eastAsia"/>
                <w:color w:val="auto"/>
                <w:sz w:val="21"/>
                <w:szCs w:val="21"/>
                <w:highlight w:val="none"/>
              </w:rPr>
              <w:t>39.4  知识产权</w:t>
            </w:r>
          </w:p>
        </w:tc>
      </w:tr>
      <w:tr w14:paraId="305C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886" w:type="dxa"/>
            <w:vAlign w:val="center"/>
          </w:tcPr>
          <w:p w14:paraId="44B8265D">
            <w:pPr>
              <w:spacing w:line="360" w:lineRule="auto"/>
              <w:jc w:val="center"/>
              <w:rPr>
                <w:color w:val="auto"/>
                <w:sz w:val="21"/>
                <w:szCs w:val="21"/>
                <w:highlight w:val="none"/>
              </w:rPr>
            </w:pPr>
          </w:p>
        </w:tc>
        <w:tc>
          <w:tcPr>
            <w:tcW w:w="9023" w:type="dxa"/>
            <w:gridSpan w:val="2"/>
            <w:vAlign w:val="center"/>
          </w:tcPr>
          <w:p w14:paraId="67A497B2">
            <w:pPr>
              <w:spacing w:line="360" w:lineRule="auto"/>
              <w:rPr>
                <w:color w:val="auto"/>
                <w:sz w:val="21"/>
                <w:szCs w:val="21"/>
                <w:highlight w:val="none"/>
              </w:rPr>
            </w:pPr>
            <w:r>
              <w:rPr>
                <w:rFonts w:hint="eastAsia"/>
                <w:color w:val="auto"/>
                <w:sz w:val="21"/>
                <w:szCs w:val="21"/>
                <w:highlight w:val="none"/>
              </w:rPr>
              <w:t>构成本竞争性磋商文件各个组成部分的文件，未经发包人书面同意，供应商不得擅自复印和用于非本招标项目所需的其他目的。发包人全部或者部分使用未成交人响应文件中的技术成果或技术方案时，需征得其书面同意，并不得擅自复印或提供给第三人。</w:t>
            </w:r>
          </w:p>
        </w:tc>
      </w:tr>
      <w:tr w14:paraId="6F058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9909" w:type="dxa"/>
            <w:gridSpan w:val="3"/>
            <w:vAlign w:val="center"/>
          </w:tcPr>
          <w:p w14:paraId="68A72363">
            <w:pPr>
              <w:spacing w:line="360" w:lineRule="auto"/>
              <w:ind w:firstLine="210" w:firstLineChars="100"/>
              <w:jc w:val="both"/>
              <w:rPr>
                <w:rFonts w:hint="eastAsia" w:ascii="宋体" w:hAnsi="宋体"/>
                <w:color w:val="auto"/>
                <w:sz w:val="21"/>
                <w:szCs w:val="21"/>
                <w:highlight w:val="none"/>
              </w:rPr>
            </w:pPr>
            <w:r>
              <w:rPr>
                <w:rFonts w:hint="eastAsia"/>
                <w:color w:val="auto"/>
                <w:sz w:val="21"/>
                <w:szCs w:val="21"/>
                <w:highlight w:val="none"/>
              </w:rPr>
              <w:t>39.5  同义词语</w:t>
            </w:r>
          </w:p>
        </w:tc>
      </w:tr>
      <w:tr w14:paraId="474C9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886" w:type="dxa"/>
            <w:vAlign w:val="center"/>
          </w:tcPr>
          <w:p w14:paraId="41564FB1">
            <w:pPr>
              <w:spacing w:line="360" w:lineRule="auto"/>
              <w:jc w:val="center"/>
              <w:rPr>
                <w:color w:val="auto"/>
                <w:sz w:val="21"/>
                <w:szCs w:val="21"/>
                <w:highlight w:val="none"/>
              </w:rPr>
            </w:pPr>
          </w:p>
        </w:tc>
        <w:tc>
          <w:tcPr>
            <w:tcW w:w="9023" w:type="dxa"/>
            <w:gridSpan w:val="2"/>
            <w:vAlign w:val="center"/>
          </w:tcPr>
          <w:p w14:paraId="273C170A">
            <w:pPr>
              <w:spacing w:line="360" w:lineRule="auto"/>
              <w:rPr>
                <w:color w:val="auto"/>
                <w:sz w:val="21"/>
                <w:szCs w:val="21"/>
                <w:highlight w:val="none"/>
              </w:rPr>
            </w:pPr>
            <w:r>
              <w:rPr>
                <w:rFonts w:hint="eastAsia"/>
                <w:color w:val="auto"/>
                <w:sz w:val="21"/>
                <w:szCs w:val="21"/>
                <w:highlight w:val="none"/>
              </w:rPr>
              <w:t>构成竞争性磋商文件组成部分的“合同条款及格式”、 “技术规范书”等章节中出现的措辞“甲方”和“乙方”、“发包人”和“供应商”等，在招标投标阶段应当分别按“发包人”和“供应商”进行理解。</w:t>
            </w:r>
          </w:p>
        </w:tc>
      </w:tr>
      <w:tr w14:paraId="2B7A0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9909" w:type="dxa"/>
            <w:gridSpan w:val="3"/>
            <w:vAlign w:val="center"/>
          </w:tcPr>
          <w:p w14:paraId="604AAA74">
            <w:pPr>
              <w:spacing w:line="360" w:lineRule="auto"/>
              <w:ind w:firstLine="210" w:firstLineChars="100"/>
              <w:jc w:val="both"/>
              <w:rPr>
                <w:rFonts w:hint="eastAsia" w:ascii="宋体" w:hAnsi="宋体"/>
                <w:color w:val="auto"/>
                <w:sz w:val="21"/>
                <w:szCs w:val="21"/>
                <w:highlight w:val="none"/>
              </w:rPr>
            </w:pPr>
            <w:r>
              <w:rPr>
                <w:rFonts w:hint="eastAsia"/>
                <w:color w:val="auto"/>
                <w:sz w:val="21"/>
                <w:szCs w:val="21"/>
                <w:highlight w:val="none"/>
              </w:rPr>
              <w:t>39.6  监督</w:t>
            </w:r>
          </w:p>
        </w:tc>
      </w:tr>
      <w:tr w14:paraId="72292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886" w:type="dxa"/>
            <w:vAlign w:val="center"/>
          </w:tcPr>
          <w:p w14:paraId="033F2A48">
            <w:pPr>
              <w:spacing w:line="360" w:lineRule="auto"/>
              <w:jc w:val="center"/>
              <w:rPr>
                <w:color w:val="auto"/>
                <w:sz w:val="21"/>
                <w:szCs w:val="21"/>
                <w:highlight w:val="none"/>
              </w:rPr>
            </w:pPr>
          </w:p>
        </w:tc>
        <w:tc>
          <w:tcPr>
            <w:tcW w:w="9023" w:type="dxa"/>
            <w:gridSpan w:val="2"/>
            <w:vAlign w:val="center"/>
          </w:tcPr>
          <w:p w14:paraId="2945B478">
            <w:pPr>
              <w:spacing w:line="360" w:lineRule="auto"/>
              <w:jc w:val="both"/>
              <w:rPr>
                <w:rFonts w:hint="eastAsia" w:ascii="宋体" w:hAnsi="宋体"/>
                <w:color w:val="auto"/>
                <w:sz w:val="21"/>
                <w:szCs w:val="21"/>
                <w:highlight w:val="none"/>
              </w:rPr>
            </w:pPr>
            <w:r>
              <w:rPr>
                <w:rFonts w:hint="eastAsia"/>
                <w:color w:val="auto"/>
                <w:sz w:val="21"/>
                <w:szCs w:val="21"/>
                <w:highlight w:val="none"/>
              </w:rPr>
              <w:t>本项目的竞争性磋商活动及其相关当事人应当接受发包人相关监督部门依法实施的监督。</w:t>
            </w:r>
          </w:p>
        </w:tc>
      </w:tr>
    </w:tbl>
    <w:p w14:paraId="30F5125D">
      <w:pPr>
        <w:pStyle w:val="3"/>
        <w:spacing w:line="360" w:lineRule="auto"/>
        <w:jc w:val="center"/>
        <w:rPr>
          <w:rFonts w:ascii="Times New Roman" w:hAnsi="Times New Roman"/>
          <w:color w:val="auto"/>
          <w:highlight w:val="none"/>
        </w:rPr>
      </w:pPr>
      <w:bookmarkStart w:id="16" w:name="_Toc57900425"/>
      <w:bookmarkStart w:id="17" w:name="_Toc455587209"/>
      <w:bookmarkStart w:id="18" w:name="_Toc240288646"/>
      <w:bookmarkStart w:id="19" w:name="_Toc3855"/>
      <w:bookmarkStart w:id="20" w:name="_Toc243176579"/>
      <w:bookmarkStart w:id="21" w:name="_Toc455586196"/>
      <w:r>
        <w:rPr>
          <w:rFonts w:hint="eastAsia" w:ascii="Times New Roman" w:hAnsi="Times New Roman"/>
          <w:color w:val="auto"/>
          <w:highlight w:val="none"/>
        </w:rPr>
        <w:t>（一） 总则</w:t>
      </w:r>
      <w:bookmarkEnd w:id="13"/>
      <w:bookmarkEnd w:id="14"/>
      <w:bookmarkEnd w:id="15"/>
      <w:bookmarkEnd w:id="16"/>
      <w:bookmarkEnd w:id="17"/>
      <w:bookmarkEnd w:id="18"/>
      <w:bookmarkEnd w:id="19"/>
      <w:bookmarkEnd w:id="20"/>
      <w:bookmarkEnd w:id="21"/>
    </w:p>
    <w:p w14:paraId="44CE53ED">
      <w:pPr>
        <w:pStyle w:val="5"/>
        <w:spacing w:before="0" w:after="0" w:line="360" w:lineRule="auto"/>
        <w:jc w:val="both"/>
        <w:rPr>
          <w:rFonts w:ascii="Times New Roman" w:hAnsi="Times New Roman"/>
          <w:b w:val="0"/>
          <w:bCs w:val="0"/>
          <w:color w:val="auto"/>
          <w:sz w:val="24"/>
          <w:szCs w:val="24"/>
          <w:highlight w:val="none"/>
        </w:rPr>
      </w:pPr>
      <w:r>
        <w:rPr>
          <w:rFonts w:hint="eastAsia" w:ascii="Times New Roman" w:hAnsi="Times New Roman"/>
          <w:b w:val="0"/>
          <w:bCs w:val="0"/>
          <w:color w:val="auto"/>
          <w:sz w:val="24"/>
          <w:szCs w:val="24"/>
          <w:highlight w:val="none"/>
        </w:rPr>
        <w:t>1、项目概况</w:t>
      </w:r>
    </w:p>
    <w:p w14:paraId="3A767248">
      <w:pPr>
        <w:spacing w:line="360" w:lineRule="auto"/>
        <w:ind w:firstLine="420" w:firstLineChars="200"/>
        <w:rPr>
          <w:color w:val="auto"/>
          <w:sz w:val="21"/>
          <w:szCs w:val="21"/>
          <w:highlight w:val="none"/>
        </w:rPr>
      </w:pPr>
      <w:r>
        <w:rPr>
          <w:rFonts w:hint="eastAsia"/>
          <w:color w:val="auto"/>
          <w:sz w:val="21"/>
          <w:szCs w:val="21"/>
          <w:highlight w:val="none"/>
        </w:rPr>
        <w:t>1.1</w:t>
      </w:r>
      <w:r>
        <w:rPr>
          <w:rFonts w:hint="eastAsia" w:ascii="宋体" w:hAnsi="宋体"/>
          <w:color w:val="auto"/>
          <w:kern w:val="2"/>
          <w:sz w:val="21"/>
          <w:szCs w:val="21"/>
          <w:highlight w:val="none"/>
        </w:rPr>
        <w:t>磋商范围</w:t>
      </w:r>
      <w:r>
        <w:rPr>
          <w:rFonts w:hint="eastAsia"/>
          <w:color w:val="auto"/>
          <w:sz w:val="21"/>
          <w:szCs w:val="21"/>
          <w:highlight w:val="none"/>
        </w:rPr>
        <w:t xml:space="preserve">：详见磋商须知前附表。 </w:t>
      </w:r>
    </w:p>
    <w:p w14:paraId="6D0AFD0F">
      <w:pPr>
        <w:spacing w:line="360" w:lineRule="auto"/>
        <w:ind w:firstLine="420" w:firstLineChars="200"/>
        <w:rPr>
          <w:color w:val="auto"/>
          <w:sz w:val="21"/>
          <w:szCs w:val="21"/>
          <w:highlight w:val="none"/>
        </w:rPr>
      </w:pPr>
      <w:r>
        <w:rPr>
          <w:rFonts w:hint="eastAsia"/>
          <w:color w:val="auto"/>
          <w:sz w:val="21"/>
          <w:szCs w:val="21"/>
          <w:highlight w:val="none"/>
        </w:rPr>
        <w:t>1.2</w:t>
      </w:r>
      <w:r>
        <w:rPr>
          <w:rFonts w:hint="eastAsia" w:ascii="宋体" w:hAnsi="宋体"/>
          <w:color w:val="auto"/>
          <w:kern w:val="2"/>
          <w:sz w:val="21"/>
          <w:szCs w:val="21"/>
          <w:highlight w:val="none"/>
        </w:rPr>
        <w:t>服务周期</w:t>
      </w:r>
      <w:r>
        <w:rPr>
          <w:rFonts w:hint="eastAsia"/>
          <w:color w:val="auto"/>
          <w:sz w:val="21"/>
          <w:szCs w:val="21"/>
          <w:highlight w:val="none"/>
        </w:rPr>
        <w:t>：详见磋商须知前附表。</w:t>
      </w:r>
    </w:p>
    <w:p w14:paraId="599B1E89">
      <w:pPr>
        <w:spacing w:line="360" w:lineRule="auto"/>
        <w:ind w:firstLine="420" w:firstLineChars="200"/>
        <w:rPr>
          <w:color w:val="auto"/>
          <w:sz w:val="21"/>
          <w:szCs w:val="21"/>
          <w:highlight w:val="none"/>
        </w:rPr>
      </w:pPr>
      <w:r>
        <w:rPr>
          <w:rFonts w:hint="eastAsia"/>
          <w:color w:val="auto"/>
          <w:sz w:val="21"/>
          <w:szCs w:val="21"/>
          <w:highlight w:val="none"/>
        </w:rPr>
        <w:t>1.3</w:t>
      </w:r>
      <w:r>
        <w:rPr>
          <w:rFonts w:hint="eastAsia" w:ascii="宋体" w:hAnsi="宋体"/>
          <w:color w:val="auto"/>
          <w:kern w:val="2"/>
          <w:sz w:val="21"/>
          <w:szCs w:val="21"/>
          <w:highlight w:val="none"/>
        </w:rPr>
        <w:t>项目地点</w:t>
      </w:r>
      <w:r>
        <w:rPr>
          <w:rFonts w:hint="eastAsia"/>
          <w:color w:val="auto"/>
          <w:sz w:val="21"/>
          <w:szCs w:val="21"/>
          <w:highlight w:val="none"/>
        </w:rPr>
        <w:t>：详见磋商须知前附表。</w:t>
      </w:r>
    </w:p>
    <w:p w14:paraId="2EEF51CD">
      <w:pPr>
        <w:spacing w:line="360" w:lineRule="auto"/>
        <w:ind w:firstLine="420" w:firstLineChars="200"/>
        <w:rPr>
          <w:color w:val="auto"/>
          <w:sz w:val="21"/>
          <w:szCs w:val="21"/>
          <w:highlight w:val="none"/>
        </w:rPr>
      </w:pPr>
      <w:r>
        <w:rPr>
          <w:rFonts w:hint="eastAsia"/>
          <w:color w:val="auto"/>
          <w:sz w:val="21"/>
          <w:szCs w:val="21"/>
          <w:highlight w:val="none"/>
        </w:rPr>
        <w:t>1.4</w:t>
      </w:r>
      <w:r>
        <w:rPr>
          <w:rFonts w:hint="eastAsia" w:ascii="宋体" w:hAnsi="宋体"/>
          <w:color w:val="auto"/>
          <w:kern w:val="2"/>
          <w:sz w:val="21"/>
          <w:szCs w:val="21"/>
          <w:highlight w:val="none"/>
        </w:rPr>
        <w:t>标包划分</w:t>
      </w:r>
      <w:r>
        <w:rPr>
          <w:rFonts w:hint="eastAsia"/>
          <w:color w:val="auto"/>
          <w:sz w:val="21"/>
          <w:szCs w:val="21"/>
          <w:highlight w:val="none"/>
        </w:rPr>
        <w:t>：详见磋商须知前附表。</w:t>
      </w:r>
    </w:p>
    <w:p w14:paraId="2E21EBC2">
      <w:pPr>
        <w:spacing w:line="360" w:lineRule="auto"/>
        <w:ind w:firstLine="420" w:firstLineChars="200"/>
        <w:rPr>
          <w:color w:val="auto"/>
          <w:sz w:val="21"/>
          <w:szCs w:val="21"/>
          <w:highlight w:val="none"/>
        </w:rPr>
      </w:pPr>
      <w:r>
        <w:rPr>
          <w:rFonts w:hint="eastAsia"/>
          <w:color w:val="auto"/>
          <w:sz w:val="21"/>
          <w:szCs w:val="21"/>
          <w:highlight w:val="none"/>
        </w:rPr>
        <w:t>1.5</w:t>
      </w:r>
      <w:r>
        <w:rPr>
          <w:rFonts w:hint="eastAsia" w:ascii="宋体" w:hAnsi="宋体"/>
          <w:color w:val="auto"/>
          <w:kern w:val="2"/>
          <w:sz w:val="21"/>
          <w:szCs w:val="21"/>
          <w:highlight w:val="none"/>
        </w:rPr>
        <w:t>质量要求</w:t>
      </w:r>
      <w:r>
        <w:rPr>
          <w:rFonts w:hint="eastAsia"/>
          <w:color w:val="auto"/>
          <w:sz w:val="21"/>
          <w:szCs w:val="21"/>
          <w:highlight w:val="none"/>
        </w:rPr>
        <w:t>：详见磋商须知前附表。</w:t>
      </w:r>
    </w:p>
    <w:p w14:paraId="665E337D">
      <w:pPr>
        <w:spacing w:line="360" w:lineRule="auto"/>
        <w:ind w:firstLine="420" w:firstLineChars="200"/>
        <w:rPr>
          <w:color w:val="auto"/>
          <w:sz w:val="21"/>
          <w:szCs w:val="21"/>
          <w:highlight w:val="none"/>
        </w:rPr>
      </w:pPr>
      <w:r>
        <w:rPr>
          <w:rFonts w:hint="eastAsia"/>
          <w:color w:val="auto"/>
          <w:sz w:val="21"/>
          <w:szCs w:val="21"/>
          <w:highlight w:val="none"/>
        </w:rPr>
        <w:t>1.6本项目磋商根据现行相关法律法规，通过磋商方式选定成交人。</w:t>
      </w:r>
    </w:p>
    <w:p w14:paraId="46EA1D39">
      <w:pPr>
        <w:pStyle w:val="5"/>
        <w:spacing w:before="0" w:after="0" w:line="360" w:lineRule="auto"/>
        <w:jc w:val="both"/>
        <w:rPr>
          <w:rFonts w:ascii="Times New Roman" w:hAnsi="Times New Roman"/>
          <w:b w:val="0"/>
          <w:bCs w:val="0"/>
          <w:color w:val="auto"/>
          <w:sz w:val="24"/>
          <w:szCs w:val="24"/>
          <w:highlight w:val="none"/>
        </w:rPr>
      </w:pPr>
      <w:r>
        <w:rPr>
          <w:rFonts w:hint="eastAsia" w:ascii="Times New Roman" w:hAnsi="Times New Roman"/>
          <w:b w:val="0"/>
          <w:bCs w:val="0"/>
          <w:color w:val="auto"/>
          <w:sz w:val="24"/>
          <w:szCs w:val="24"/>
          <w:highlight w:val="none"/>
        </w:rPr>
        <w:t>2、竞争性磋商费用</w:t>
      </w:r>
    </w:p>
    <w:p w14:paraId="1E6FF33E">
      <w:pPr>
        <w:spacing w:line="360" w:lineRule="auto"/>
        <w:ind w:firstLine="440" w:firstLineChars="200"/>
        <w:rPr>
          <w:rFonts w:hint="eastAsia" w:ascii="宋体" w:hAnsi="宋体"/>
          <w:bCs/>
          <w:color w:val="auto"/>
          <w:sz w:val="21"/>
          <w:szCs w:val="21"/>
          <w:highlight w:val="none"/>
        </w:rPr>
      </w:pPr>
      <w:r>
        <w:rPr>
          <w:rFonts w:ascii="宋体" w:hAnsi="宋体"/>
          <w:color w:val="auto"/>
          <w:sz w:val="22"/>
          <w:highlight w:val="none"/>
        </w:rPr>
        <w:t>2.1本次代理服务费参照《云南省建设工程招标代理服务收费参考意见》（云建招协〔2026〕11号）规定的</w:t>
      </w:r>
      <w:r>
        <w:rPr>
          <w:rFonts w:hint="eastAsia" w:ascii="宋体" w:hAnsi="宋体"/>
          <w:color w:val="auto"/>
          <w:sz w:val="22"/>
          <w:highlight w:val="none"/>
        </w:rPr>
        <w:t>下浮20%</w:t>
      </w:r>
      <w:r>
        <w:rPr>
          <w:rFonts w:ascii="宋体" w:hAnsi="宋体"/>
          <w:color w:val="auto"/>
          <w:sz w:val="22"/>
          <w:highlight w:val="none"/>
        </w:rPr>
        <w:t>向成交人收取。</w:t>
      </w:r>
    </w:p>
    <w:p w14:paraId="47D35BB4">
      <w:pPr>
        <w:spacing w:line="360" w:lineRule="auto"/>
        <w:ind w:firstLine="440" w:firstLineChars="200"/>
        <w:rPr>
          <w:rFonts w:hint="eastAsia" w:ascii="宋体" w:hAnsi="宋体"/>
          <w:bCs/>
          <w:color w:val="auto"/>
          <w:sz w:val="21"/>
          <w:szCs w:val="21"/>
          <w:highlight w:val="none"/>
        </w:rPr>
      </w:pPr>
      <w:r>
        <w:rPr>
          <w:rFonts w:ascii="宋体" w:hAnsi="宋体"/>
          <w:color w:val="auto"/>
          <w:sz w:val="22"/>
          <w:highlight w:val="none"/>
        </w:rPr>
        <w:t>2.2磋商申请人应承担其参加本磋商活动自身所发生的所有费用。</w:t>
      </w:r>
    </w:p>
    <w:p w14:paraId="1271DB7D">
      <w:pPr>
        <w:pStyle w:val="5"/>
        <w:spacing w:before="0" w:after="0" w:line="360" w:lineRule="auto"/>
        <w:jc w:val="both"/>
        <w:rPr>
          <w:rFonts w:ascii="Times New Roman" w:hAnsi="Times New Roman"/>
          <w:b w:val="0"/>
          <w:bCs w:val="0"/>
          <w:color w:val="auto"/>
          <w:sz w:val="24"/>
          <w:szCs w:val="24"/>
          <w:highlight w:val="none"/>
        </w:rPr>
      </w:pPr>
      <w:bookmarkStart w:id="22" w:name="_Toc144974411"/>
      <w:bookmarkStart w:id="23" w:name="_Toc179715700"/>
      <w:bookmarkStart w:id="24" w:name="_Toc152047207"/>
      <w:r>
        <w:rPr>
          <w:rFonts w:hint="eastAsia" w:ascii="Times New Roman" w:hAnsi="Times New Roman"/>
          <w:b w:val="0"/>
          <w:bCs w:val="0"/>
          <w:color w:val="auto"/>
          <w:sz w:val="24"/>
          <w:szCs w:val="24"/>
          <w:highlight w:val="none"/>
        </w:rPr>
        <w:t>3、竞争性磋商报价</w:t>
      </w:r>
    </w:p>
    <w:bookmarkEnd w:id="22"/>
    <w:bookmarkEnd w:id="23"/>
    <w:bookmarkEnd w:id="24"/>
    <w:p w14:paraId="34FE0EBF">
      <w:pPr>
        <w:widowControl w:val="0"/>
        <w:spacing w:line="360" w:lineRule="auto"/>
        <w:ind w:firstLine="420" w:firstLineChars="200"/>
        <w:rPr>
          <w:color w:val="auto"/>
          <w:sz w:val="21"/>
          <w:szCs w:val="21"/>
          <w:highlight w:val="none"/>
        </w:rPr>
      </w:pPr>
      <w:bookmarkStart w:id="25" w:name="_Toc144974412"/>
      <w:bookmarkStart w:id="26" w:name="_Toc179715701"/>
      <w:bookmarkStart w:id="27" w:name="_Toc152047208"/>
      <w:r>
        <w:rPr>
          <w:rFonts w:hint="eastAsia"/>
          <w:color w:val="auto"/>
          <w:sz w:val="21"/>
          <w:szCs w:val="21"/>
          <w:highlight w:val="none"/>
        </w:rPr>
        <w:t>3.1磋商报价及合同所有款项的支付均以人民币计算。供应商的磋商报价，应是本竞争性磋商文件招标范围内所述全部及合同委托的服务范围及工作内容全部工作，磋商报价为供应商在响应文件中提出的各项支付金额的总和。</w:t>
      </w:r>
    </w:p>
    <w:p w14:paraId="1188820B">
      <w:pPr>
        <w:widowControl w:val="0"/>
        <w:spacing w:line="360" w:lineRule="auto"/>
        <w:ind w:firstLine="420" w:firstLineChars="200"/>
        <w:rPr>
          <w:color w:val="auto"/>
          <w:sz w:val="21"/>
          <w:szCs w:val="21"/>
          <w:highlight w:val="none"/>
        </w:rPr>
      </w:pPr>
      <w:r>
        <w:rPr>
          <w:rFonts w:hint="eastAsia"/>
          <w:color w:val="auto"/>
          <w:sz w:val="21"/>
          <w:szCs w:val="21"/>
          <w:highlight w:val="none"/>
        </w:rPr>
        <w:t>3.2本项目按五个服务阶段进行报价，磋商报价即法律服务费。供应商填报每个阶段含税包干总价（万元）及合计总价，并填报各阶段单价。各阶段报价上限分别为：第一阶段（招标前）11.50万元、第二阶段（招标中）5.50万元、第三阶段（签约+移交）5.33万元、第四阶段（建设+验收）8.67万元、第五阶段（试运营）6.33万元，合计总报价上限价37.33万元。供应商各阶段报价及合计总价均不得超过相应公布的价格，否则作否决处理。</w:t>
      </w:r>
    </w:p>
    <w:p w14:paraId="3CF18C81">
      <w:pPr>
        <w:widowControl w:val="0"/>
        <w:spacing w:line="360" w:lineRule="auto"/>
        <w:ind w:firstLine="420" w:firstLineChars="200"/>
        <w:rPr>
          <w:color w:val="auto"/>
          <w:sz w:val="21"/>
          <w:szCs w:val="21"/>
          <w:highlight w:val="none"/>
        </w:rPr>
      </w:pPr>
      <w:r>
        <w:rPr>
          <w:color w:val="auto"/>
          <w:sz w:val="21"/>
          <w:szCs w:val="21"/>
          <w:highlight w:val="none"/>
        </w:rPr>
        <w:t>3.3供应商结合自身的技术水平及实力（人员、管理经验、承受能力等）和本项目法律服务的工作内容与计划工作量，编制科学合理的磋商报价。磋商报价（即法律服务费）包含但不限于：完成本项目各阶段专项法律服务所有工作内容所需的团队人员成本费用、差旅费、出具成果资料费用、税费等，以及按发包人要求多次修改/调整直至发包人满意所产生的全部费用。除双方合同中约定由发包人承担的费用外，发包人不再支付其他费用，供应商不得以任何理由重复计算，作为供应商磋商报价的依据。在合同实施期间，成交的磋商报价不因国家政策或法规、标准及市场因素的变化而调整，也不因具体承担服务内容和工作量的调整而调整。</w:t>
      </w:r>
    </w:p>
    <w:p w14:paraId="19A806A9">
      <w:pPr>
        <w:widowControl w:val="0"/>
        <w:spacing w:line="360" w:lineRule="auto"/>
        <w:ind w:firstLine="420" w:firstLineChars="200"/>
        <w:rPr>
          <w:color w:val="auto"/>
          <w:sz w:val="21"/>
          <w:szCs w:val="21"/>
          <w:highlight w:val="none"/>
        </w:rPr>
      </w:pPr>
      <w:r>
        <w:rPr>
          <w:rFonts w:hint="eastAsia"/>
          <w:color w:val="auto"/>
          <w:sz w:val="21"/>
          <w:szCs w:val="21"/>
          <w:highlight w:val="none"/>
        </w:rPr>
        <w:t>3.4在合同实施期间，因国家政策或法规、标准的变化而发生的服务费用均不作调整。</w:t>
      </w:r>
    </w:p>
    <w:p w14:paraId="5E14340B">
      <w:pPr>
        <w:widowControl w:val="0"/>
        <w:spacing w:line="360" w:lineRule="auto"/>
        <w:ind w:firstLine="420" w:firstLineChars="200"/>
        <w:rPr>
          <w:color w:val="auto"/>
          <w:sz w:val="21"/>
          <w:szCs w:val="21"/>
          <w:highlight w:val="none"/>
        </w:rPr>
      </w:pPr>
      <w:r>
        <w:rPr>
          <w:rFonts w:hint="eastAsia"/>
          <w:color w:val="auto"/>
          <w:sz w:val="21"/>
          <w:szCs w:val="21"/>
          <w:highlight w:val="none"/>
        </w:rPr>
        <w:t>3.5风险因素提示：如因发包人的原因致使本项目实际服务周期发生变化，服务周期应相应调整，供应商所填报的服务费不予调整。</w:t>
      </w:r>
    </w:p>
    <w:p w14:paraId="481D821B">
      <w:pPr>
        <w:widowControl w:val="0"/>
        <w:spacing w:line="360" w:lineRule="auto"/>
        <w:ind w:firstLine="420" w:firstLineChars="200"/>
        <w:rPr>
          <w:color w:val="auto"/>
          <w:sz w:val="21"/>
          <w:szCs w:val="21"/>
          <w:highlight w:val="none"/>
        </w:rPr>
      </w:pPr>
      <w:r>
        <w:rPr>
          <w:rFonts w:hint="eastAsia"/>
          <w:color w:val="auto"/>
          <w:sz w:val="21"/>
          <w:szCs w:val="21"/>
          <w:highlight w:val="none"/>
        </w:rPr>
        <w:t>3.6发包人不组织现场踏勘。供应商可自行到项目实施地点踏勘以充分了解工地位置、情况及任何其他足以影响报价的情况，任何因忽视或误解而导致的索赔申请将不被批准。</w:t>
      </w:r>
    </w:p>
    <w:p w14:paraId="2F15262B">
      <w:pPr>
        <w:spacing w:line="360" w:lineRule="auto"/>
        <w:ind w:firstLine="420" w:firstLineChars="200"/>
        <w:rPr>
          <w:color w:val="auto"/>
          <w:sz w:val="21"/>
          <w:szCs w:val="21"/>
          <w:highlight w:val="none"/>
        </w:rPr>
      </w:pPr>
      <w:r>
        <w:rPr>
          <w:rFonts w:hint="eastAsia"/>
          <w:color w:val="auto"/>
          <w:sz w:val="21"/>
          <w:szCs w:val="21"/>
          <w:highlight w:val="none"/>
        </w:rPr>
        <w:t>3.7本次磋商设二次报价。各供应商首次报价为竞争性磋商响应文件中的磋商报价；磋商结束后，磋商小组可要求供应商在规定时间内提交二次报价（最终报价）。二次报价作为供应商的最后报价，纳入磋商报价评审。</w:t>
      </w:r>
    </w:p>
    <w:p w14:paraId="596609B9">
      <w:pPr>
        <w:pStyle w:val="5"/>
        <w:spacing w:before="0" w:after="0" w:line="360" w:lineRule="auto"/>
        <w:jc w:val="both"/>
        <w:rPr>
          <w:rFonts w:ascii="Times New Roman" w:hAnsi="Times New Roman"/>
          <w:b w:val="0"/>
          <w:bCs w:val="0"/>
          <w:color w:val="auto"/>
          <w:sz w:val="24"/>
          <w:szCs w:val="24"/>
          <w:highlight w:val="none"/>
        </w:rPr>
      </w:pPr>
      <w:r>
        <w:rPr>
          <w:rFonts w:hint="eastAsia" w:ascii="Times New Roman" w:hAnsi="Times New Roman"/>
          <w:b w:val="0"/>
          <w:bCs w:val="0"/>
          <w:color w:val="auto"/>
          <w:sz w:val="24"/>
          <w:szCs w:val="24"/>
          <w:highlight w:val="none"/>
        </w:rPr>
        <w:t>4、竞争性磋商响应文件的组成</w:t>
      </w:r>
      <w:bookmarkEnd w:id="25"/>
      <w:bookmarkEnd w:id="26"/>
      <w:bookmarkEnd w:id="27"/>
    </w:p>
    <w:p w14:paraId="3A8FF0B3">
      <w:pPr>
        <w:spacing w:line="360" w:lineRule="auto"/>
        <w:ind w:firstLine="420" w:firstLineChars="200"/>
        <w:rPr>
          <w:color w:val="auto"/>
          <w:sz w:val="21"/>
          <w:szCs w:val="21"/>
          <w:highlight w:val="none"/>
        </w:rPr>
      </w:pPr>
      <w:r>
        <w:rPr>
          <w:rFonts w:hint="eastAsia"/>
          <w:color w:val="auto"/>
          <w:sz w:val="21"/>
          <w:szCs w:val="21"/>
          <w:highlight w:val="none"/>
        </w:rPr>
        <w:t>4.1 本竞争性磋商文件包括：竞争性磋商公告（或磋商邀请书）、供应商须知、评审办法、合同条款及格式、技术标准及要求、竞争性磋商响应文件格式、供应商须知前附表规定的其他材料；</w:t>
      </w:r>
    </w:p>
    <w:p w14:paraId="3F11CB7C">
      <w:pPr>
        <w:spacing w:line="360" w:lineRule="auto"/>
        <w:ind w:firstLine="420" w:firstLineChars="200"/>
        <w:rPr>
          <w:color w:val="auto"/>
          <w:sz w:val="21"/>
          <w:szCs w:val="21"/>
          <w:highlight w:val="none"/>
        </w:rPr>
      </w:pPr>
      <w:r>
        <w:rPr>
          <w:rFonts w:hint="eastAsia"/>
          <w:color w:val="auto"/>
          <w:sz w:val="21"/>
          <w:szCs w:val="21"/>
          <w:highlight w:val="none"/>
        </w:rPr>
        <w:t>4.2 对竞争性磋商文件所作的澄清、修改，构成竞争性磋商文件的组成部分。</w:t>
      </w:r>
    </w:p>
    <w:p w14:paraId="28B82053">
      <w:pPr>
        <w:spacing w:line="360" w:lineRule="auto"/>
        <w:ind w:firstLine="420" w:firstLineChars="200"/>
        <w:rPr>
          <w:color w:val="auto"/>
          <w:sz w:val="21"/>
          <w:szCs w:val="21"/>
          <w:highlight w:val="none"/>
        </w:rPr>
      </w:pPr>
      <w:r>
        <w:rPr>
          <w:rFonts w:hint="eastAsia"/>
          <w:color w:val="auto"/>
          <w:sz w:val="21"/>
          <w:szCs w:val="21"/>
          <w:highlight w:val="none"/>
        </w:rPr>
        <w:t>4.3 供应商同时应认真审阅竞争性磋商文件中所有的事项、格式、条款和规范要求等，如果供应商的竞争性磋商响应文件没有按照竞争性磋商文件要求递交全部资料或者竞争性磋商响应文件没有对竞争性磋商文件做出实质性响应，其风险应由供应商自行承担。实质上不响应竞争性磋商文件要求的竞争性磋商响应文件视为无效标被拒绝。</w:t>
      </w:r>
    </w:p>
    <w:p w14:paraId="3ABCE68C">
      <w:pPr>
        <w:pStyle w:val="5"/>
        <w:spacing w:before="0" w:after="0" w:line="360" w:lineRule="auto"/>
        <w:jc w:val="both"/>
        <w:rPr>
          <w:rFonts w:ascii="Times New Roman" w:hAnsi="Times New Roman"/>
          <w:b w:val="0"/>
          <w:bCs w:val="0"/>
          <w:color w:val="auto"/>
          <w:sz w:val="24"/>
          <w:szCs w:val="24"/>
          <w:highlight w:val="none"/>
        </w:rPr>
      </w:pPr>
      <w:r>
        <w:rPr>
          <w:rFonts w:hint="eastAsia" w:ascii="Times New Roman" w:hAnsi="Times New Roman"/>
          <w:b w:val="0"/>
          <w:bCs w:val="0"/>
          <w:color w:val="auto"/>
          <w:sz w:val="24"/>
          <w:szCs w:val="24"/>
          <w:highlight w:val="none"/>
        </w:rPr>
        <w:t>5、竞争性磋商响应文件的密封和标记</w:t>
      </w:r>
    </w:p>
    <w:p w14:paraId="7BE54CE4">
      <w:pPr>
        <w:spacing w:line="360" w:lineRule="auto"/>
        <w:ind w:firstLine="420" w:firstLineChars="200"/>
        <w:rPr>
          <w:color w:val="auto"/>
          <w:sz w:val="21"/>
          <w:szCs w:val="21"/>
          <w:highlight w:val="none"/>
        </w:rPr>
      </w:pPr>
      <w:r>
        <w:rPr>
          <w:rFonts w:hint="eastAsia"/>
          <w:color w:val="auto"/>
          <w:sz w:val="21"/>
          <w:szCs w:val="21"/>
          <w:highlight w:val="none"/>
        </w:rPr>
        <w:t>5.1网上递交的竞争性磋商响应文件需要对竞争性磋商响应文件进行加密。</w:t>
      </w:r>
    </w:p>
    <w:p w14:paraId="26C3C456">
      <w:pPr>
        <w:pStyle w:val="5"/>
        <w:spacing w:before="0" w:after="0" w:line="360" w:lineRule="auto"/>
        <w:jc w:val="both"/>
        <w:rPr>
          <w:rFonts w:ascii="Times New Roman" w:hAnsi="Times New Roman"/>
          <w:b w:val="0"/>
          <w:bCs w:val="0"/>
          <w:color w:val="auto"/>
          <w:sz w:val="24"/>
          <w:szCs w:val="24"/>
          <w:highlight w:val="none"/>
        </w:rPr>
      </w:pPr>
      <w:r>
        <w:rPr>
          <w:rFonts w:hint="eastAsia" w:ascii="Times New Roman" w:hAnsi="Times New Roman"/>
          <w:b w:val="0"/>
          <w:bCs w:val="0"/>
          <w:color w:val="auto"/>
          <w:sz w:val="24"/>
          <w:szCs w:val="24"/>
          <w:highlight w:val="none"/>
        </w:rPr>
        <w:t>6、竞争性磋商响应文件的递交</w:t>
      </w:r>
    </w:p>
    <w:p w14:paraId="3F4FD44F">
      <w:pPr>
        <w:spacing w:line="360" w:lineRule="auto"/>
        <w:ind w:firstLine="472" w:firstLineChars="225"/>
        <w:rPr>
          <w:color w:val="auto"/>
          <w:sz w:val="21"/>
          <w:szCs w:val="21"/>
          <w:highlight w:val="none"/>
        </w:rPr>
      </w:pPr>
      <w:r>
        <w:rPr>
          <w:rFonts w:hint="eastAsia"/>
          <w:color w:val="auto"/>
          <w:sz w:val="21"/>
          <w:szCs w:val="21"/>
          <w:highlight w:val="none"/>
        </w:rPr>
        <w:t>6.1 供应商应在规定的竞争性磋商响应文件递交截止时间前递交竞争性磋商响应文件</w:t>
      </w:r>
    </w:p>
    <w:p w14:paraId="7490B5F6">
      <w:pPr>
        <w:spacing w:line="360" w:lineRule="auto"/>
        <w:ind w:firstLine="472" w:firstLineChars="225"/>
        <w:rPr>
          <w:color w:val="auto"/>
          <w:sz w:val="21"/>
          <w:szCs w:val="21"/>
          <w:highlight w:val="none"/>
        </w:rPr>
      </w:pPr>
      <w:r>
        <w:rPr>
          <w:rFonts w:hint="eastAsia"/>
          <w:color w:val="auto"/>
          <w:sz w:val="21"/>
          <w:szCs w:val="21"/>
          <w:highlight w:val="none"/>
        </w:rPr>
        <w:t>6.2 网上上传：供应商登录“阳光臻达电子招投标交易平台”，根据拟要参与的项目，按照电子交易系统要求上传竞争性磋商响应文件，竞争性磋商响应文件须使用《阳光臻达-投标文件编制工具》制作（格式为*.SPCT）。</w:t>
      </w:r>
    </w:p>
    <w:p w14:paraId="6EA18158">
      <w:pPr>
        <w:spacing w:line="360" w:lineRule="auto"/>
        <w:ind w:firstLine="472" w:firstLineChars="225"/>
        <w:rPr>
          <w:color w:val="auto"/>
          <w:sz w:val="21"/>
          <w:szCs w:val="21"/>
          <w:highlight w:val="none"/>
        </w:rPr>
      </w:pPr>
      <w:r>
        <w:rPr>
          <w:rFonts w:hint="eastAsia"/>
          <w:color w:val="auto"/>
          <w:sz w:val="21"/>
          <w:szCs w:val="21"/>
          <w:highlight w:val="none"/>
        </w:rPr>
        <w:t>6.3 除供应商须知前附表另有规定外，供应商所递交的竞争性磋商响应文件不予退还。</w:t>
      </w:r>
    </w:p>
    <w:p w14:paraId="44EC0B39">
      <w:pPr>
        <w:pStyle w:val="5"/>
        <w:spacing w:before="0" w:after="0" w:line="360" w:lineRule="auto"/>
        <w:jc w:val="both"/>
        <w:rPr>
          <w:rFonts w:ascii="Times New Roman" w:hAnsi="Times New Roman"/>
          <w:b w:val="0"/>
          <w:bCs w:val="0"/>
          <w:color w:val="auto"/>
          <w:sz w:val="24"/>
          <w:szCs w:val="24"/>
          <w:highlight w:val="none"/>
        </w:rPr>
      </w:pPr>
      <w:bookmarkStart w:id="28" w:name="_Toc375869212"/>
      <w:r>
        <w:rPr>
          <w:rFonts w:hint="eastAsia" w:ascii="Times New Roman" w:hAnsi="Times New Roman"/>
          <w:b w:val="0"/>
          <w:bCs w:val="0"/>
          <w:color w:val="auto"/>
          <w:sz w:val="24"/>
          <w:szCs w:val="24"/>
          <w:highlight w:val="none"/>
        </w:rPr>
        <w:t>7、踏勘现场</w:t>
      </w:r>
      <w:bookmarkEnd w:id="28"/>
      <w:r>
        <w:rPr>
          <w:rFonts w:hint="eastAsia" w:ascii="Times New Roman" w:hAnsi="Times New Roman"/>
          <w:b w:val="0"/>
          <w:bCs w:val="0"/>
          <w:color w:val="auto"/>
          <w:sz w:val="24"/>
          <w:szCs w:val="24"/>
          <w:highlight w:val="none"/>
        </w:rPr>
        <w:t>（若有）</w:t>
      </w:r>
    </w:p>
    <w:p w14:paraId="2E776618">
      <w:pPr>
        <w:spacing w:line="360" w:lineRule="auto"/>
        <w:ind w:firstLine="472" w:firstLineChars="225"/>
        <w:rPr>
          <w:color w:val="auto"/>
          <w:sz w:val="21"/>
          <w:szCs w:val="21"/>
          <w:highlight w:val="none"/>
        </w:rPr>
      </w:pPr>
      <w:r>
        <w:rPr>
          <w:rFonts w:hint="eastAsia"/>
          <w:color w:val="auto"/>
          <w:sz w:val="21"/>
          <w:szCs w:val="21"/>
          <w:highlight w:val="none"/>
        </w:rPr>
        <w:t>7.1发包人集中组织供货地点的现场踏勘，供应商需要了解现场情况的，按照规定的时间进行现场踏勘，发包人联系方式及地点见磋商须知前附表。</w:t>
      </w:r>
    </w:p>
    <w:p w14:paraId="35947F23">
      <w:pPr>
        <w:spacing w:line="360" w:lineRule="auto"/>
        <w:ind w:firstLine="472" w:firstLineChars="225"/>
        <w:rPr>
          <w:color w:val="auto"/>
          <w:sz w:val="21"/>
          <w:szCs w:val="21"/>
          <w:highlight w:val="none"/>
        </w:rPr>
      </w:pPr>
      <w:r>
        <w:rPr>
          <w:rFonts w:hint="eastAsia"/>
          <w:color w:val="auto"/>
          <w:sz w:val="21"/>
          <w:szCs w:val="21"/>
          <w:highlight w:val="none"/>
        </w:rPr>
        <w:t>7.2供应商踏勘现场发生的费用自理。</w:t>
      </w:r>
    </w:p>
    <w:p w14:paraId="1CDE2215">
      <w:pPr>
        <w:spacing w:line="360" w:lineRule="auto"/>
        <w:ind w:firstLine="472" w:firstLineChars="225"/>
        <w:rPr>
          <w:color w:val="auto"/>
          <w:sz w:val="21"/>
          <w:szCs w:val="21"/>
          <w:highlight w:val="none"/>
        </w:rPr>
      </w:pPr>
      <w:r>
        <w:rPr>
          <w:rFonts w:hint="eastAsia"/>
          <w:color w:val="auto"/>
          <w:sz w:val="21"/>
          <w:szCs w:val="21"/>
          <w:highlight w:val="none"/>
        </w:rPr>
        <w:t>7.3供应商自行负责在踏勘现场中所发生的人员伤亡和财产损失。</w:t>
      </w:r>
    </w:p>
    <w:p w14:paraId="10CE343B">
      <w:pPr>
        <w:pStyle w:val="3"/>
        <w:spacing w:line="360" w:lineRule="auto"/>
        <w:jc w:val="center"/>
        <w:rPr>
          <w:rFonts w:ascii="Times New Roman" w:hAnsi="Times New Roman"/>
          <w:b w:val="0"/>
          <w:color w:val="auto"/>
          <w:highlight w:val="none"/>
        </w:rPr>
      </w:pPr>
      <w:bookmarkStart w:id="29" w:name="_Toc229583204"/>
      <w:bookmarkStart w:id="30" w:name="_Toc243176580"/>
      <w:bookmarkStart w:id="31" w:name="_Toc455586197"/>
      <w:bookmarkStart w:id="32" w:name="_Toc240288647"/>
      <w:bookmarkStart w:id="33" w:name="_Toc455587210"/>
      <w:bookmarkStart w:id="34" w:name="_Toc22510"/>
      <w:bookmarkStart w:id="35" w:name="_Toc57900426"/>
      <w:r>
        <w:rPr>
          <w:rFonts w:hint="eastAsia" w:ascii="Times New Roman" w:hAnsi="Times New Roman"/>
          <w:color w:val="auto"/>
          <w:highlight w:val="none"/>
        </w:rPr>
        <w:t>（二）</w:t>
      </w:r>
      <w:bookmarkEnd w:id="29"/>
      <w:r>
        <w:rPr>
          <w:rFonts w:hint="eastAsia" w:ascii="Times New Roman" w:hAnsi="Times New Roman"/>
          <w:color w:val="auto"/>
          <w:highlight w:val="none"/>
        </w:rPr>
        <w:t>竞争性磋商</w:t>
      </w:r>
      <w:bookmarkEnd w:id="30"/>
      <w:bookmarkEnd w:id="31"/>
      <w:bookmarkEnd w:id="32"/>
      <w:bookmarkEnd w:id="33"/>
      <w:bookmarkEnd w:id="34"/>
      <w:bookmarkEnd w:id="35"/>
    </w:p>
    <w:p w14:paraId="51B6828A">
      <w:pPr>
        <w:pStyle w:val="5"/>
        <w:spacing w:before="0" w:after="0" w:line="360" w:lineRule="auto"/>
        <w:jc w:val="both"/>
        <w:rPr>
          <w:rFonts w:ascii="Times New Roman" w:hAnsi="Times New Roman"/>
          <w:b w:val="0"/>
          <w:bCs w:val="0"/>
          <w:color w:val="auto"/>
          <w:sz w:val="24"/>
          <w:szCs w:val="24"/>
          <w:highlight w:val="none"/>
        </w:rPr>
      </w:pPr>
      <w:r>
        <w:rPr>
          <w:rFonts w:hint="eastAsia" w:ascii="Times New Roman" w:hAnsi="Times New Roman"/>
          <w:b w:val="0"/>
          <w:bCs w:val="0"/>
          <w:color w:val="auto"/>
          <w:sz w:val="24"/>
          <w:szCs w:val="24"/>
          <w:highlight w:val="none"/>
        </w:rPr>
        <w:t>8、竞争性磋商时间和地点</w:t>
      </w:r>
    </w:p>
    <w:p w14:paraId="61BAD06E">
      <w:pPr>
        <w:spacing w:line="360" w:lineRule="auto"/>
        <w:ind w:firstLine="420" w:firstLineChars="200"/>
        <w:rPr>
          <w:bCs/>
          <w:color w:val="auto"/>
          <w:sz w:val="21"/>
          <w:szCs w:val="21"/>
          <w:highlight w:val="none"/>
        </w:rPr>
      </w:pPr>
      <w:r>
        <w:rPr>
          <w:rFonts w:hint="eastAsia"/>
          <w:bCs/>
          <w:color w:val="auto"/>
          <w:sz w:val="21"/>
          <w:szCs w:val="21"/>
          <w:highlight w:val="none"/>
        </w:rPr>
        <w:t>8.1发包人在按磋商须知前附表规定的时间和地点进行磋商，并邀请所有供应商的法定代表人或其委托代理人准时参加。</w:t>
      </w:r>
    </w:p>
    <w:p w14:paraId="56DB062B">
      <w:pPr>
        <w:spacing w:line="360" w:lineRule="auto"/>
        <w:ind w:firstLine="420" w:firstLineChars="200"/>
        <w:rPr>
          <w:bCs/>
          <w:color w:val="auto"/>
          <w:sz w:val="21"/>
          <w:szCs w:val="21"/>
          <w:highlight w:val="none"/>
        </w:rPr>
      </w:pPr>
      <w:r>
        <w:rPr>
          <w:rFonts w:hint="eastAsia"/>
          <w:bCs/>
          <w:color w:val="auto"/>
          <w:sz w:val="21"/>
          <w:szCs w:val="21"/>
          <w:highlight w:val="none"/>
        </w:rPr>
        <w:t>8.2根据参加磋商的供应商名单，由磋商小组所有成员集中与单一供应商分别进行磋商，在磋商中，磋商的任何一方不得透露与磋商有关的其他供应商的技术资料、报价和其他信息。</w:t>
      </w:r>
    </w:p>
    <w:p w14:paraId="2B888347">
      <w:pPr>
        <w:spacing w:line="360" w:lineRule="auto"/>
        <w:ind w:firstLine="420" w:firstLineChars="200"/>
        <w:rPr>
          <w:bCs/>
          <w:color w:val="auto"/>
          <w:sz w:val="21"/>
          <w:szCs w:val="21"/>
          <w:highlight w:val="none"/>
        </w:rPr>
      </w:pPr>
      <w:r>
        <w:rPr>
          <w:rFonts w:hint="eastAsia"/>
          <w:color w:val="auto"/>
          <w:sz w:val="21"/>
          <w:szCs w:val="21"/>
          <w:highlight w:val="none"/>
        </w:rPr>
        <w:t>8.3公布在竞争性磋商截止时间前递交竞争性磋商响应文件的供应商名称，检验确认供应商代表资格；</w:t>
      </w:r>
    </w:p>
    <w:p w14:paraId="2F210499">
      <w:pPr>
        <w:pStyle w:val="5"/>
        <w:spacing w:before="0" w:after="0" w:line="360" w:lineRule="auto"/>
        <w:jc w:val="both"/>
        <w:rPr>
          <w:rFonts w:ascii="Times New Roman" w:hAnsi="Times New Roman"/>
          <w:b w:val="0"/>
          <w:bCs w:val="0"/>
          <w:color w:val="auto"/>
          <w:sz w:val="24"/>
          <w:szCs w:val="24"/>
          <w:highlight w:val="none"/>
        </w:rPr>
      </w:pPr>
      <w:r>
        <w:rPr>
          <w:rFonts w:hint="eastAsia" w:ascii="Times New Roman" w:hAnsi="Times New Roman"/>
          <w:b w:val="0"/>
          <w:bCs w:val="0"/>
          <w:color w:val="auto"/>
          <w:sz w:val="24"/>
          <w:szCs w:val="24"/>
          <w:highlight w:val="none"/>
        </w:rPr>
        <w:t>9、竞争性磋商程序</w:t>
      </w:r>
    </w:p>
    <w:p w14:paraId="20BA3834">
      <w:pPr>
        <w:spacing w:line="360" w:lineRule="auto"/>
        <w:ind w:firstLine="472" w:firstLineChars="225"/>
        <w:rPr>
          <w:color w:val="auto"/>
          <w:sz w:val="21"/>
          <w:szCs w:val="21"/>
          <w:highlight w:val="none"/>
        </w:rPr>
      </w:pPr>
      <w:r>
        <w:rPr>
          <w:rFonts w:hint="eastAsia"/>
          <w:color w:val="auto"/>
          <w:sz w:val="21"/>
          <w:szCs w:val="21"/>
          <w:highlight w:val="none"/>
        </w:rPr>
        <w:t>9.1 本项目的磋商会议将于上述竞争性磋商响应文件递交截止的同一时间在昆明晨晟招标有限责任公司（昆明市世博路16号世博生态城低碳中心B座1单元12层）会议室进行。</w:t>
      </w:r>
    </w:p>
    <w:p w14:paraId="230AD578">
      <w:pPr>
        <w:spacing w:line="360" w:lineRule="auto"/>
        <w:ind w:firstLine="472" w:firstLineChars="225"/>
        <w:rPr>
          <w:color w:val="auto"/>
          <w:sz w:val="21"/>
          <w:szCs w:val="21"/>
          <w:highlight w:val="none"/>
        </w:rPr>
      </w:pPr>
      <w:r>
        <w:rPr>
          <w:rFonts w:hint="eastAsia"/>
          <w:color w:val="auto"/>
          <w:sz w:val="21"/>
          <w:szCs w:val="21"/>
          <w:highlight w:val="none"/>
        </w:rPr>
        <w:t>9.2 供应商无需到现场参加开标会议。供应商须在竞争性磋商文件规定的磋商截止时间前登录“网上开标室”，根据网上远程解密、开标的要求，在规定的时间完成在线签到、解密、开标一览表确认等操作。若供应商未在规定时间完成相关操作，则视为撤销其竞争性磋商响应文件，不再进入评审阶段。</w:t>
      </w:r>
    </w:p>
    <w:p w14:paraId="71AC275F">
      <w:pPr>
        <w:spacing w:line="360" w:lineRule="auto"/>
        <w:ind w:firstLine="472" w:firstLineChars="225"/>
        <w:rPr>
          <w:color w:val="auto"/>
          <w:sz w:val="21"/>
          <w:szCs w:val="21"/>
          <w:highlight w:val="none"/>
        </w:rPr>
      </w:pPr>
      <w:r>
        <w:rPr>
          <w:rFonts w:hint="eastAsia"/>
          <w:color w:val="auto"/>
          <w:sz w:val="21"/>
          <w:szCs w:val="21"/>
          <w:highlight w:val="none"/>
        </w:rPr>
        <w:t>9.3 供应商应提前熟悉网上开标远程解密有关操作事项，技术操作咨询：云南纽智晨科技有限公司服务热线：400-883-9300。电子平台相关操作流程可登录阳光臻达电子招投标交易平台（网址：https://dzztb.ygzdztb.com/)下载专区页面下载操作手册进行查看。</w:t>
      </w:r>
    </w:p>
    <w:p w14:paraId="746F4BFD">
      <w:pPr>
        <w:pStyle w:val="5"/>
        <w:spacing w:before="0" w:after="0" w:line="360" w:lineRule="auto"/>
        <w:rPr>
          <w:rFonts w:ascii="Times New Roman" w:hAnsi="Times New Roman"/>
          <w:b w:val="0"/>
          <w:color w:val="auto"/>
          <w:sz w:val="24"/>
          <w:szCs w:val="24"/>
          <w:highlight w:val="none"/>
        </w:rPr>
      </w:pPr>
      <w:r>
        <w:rPr>
          <w:rFonts w:hint="eastAsia" w:ascii="Times New Roman" w:hAnsi="Times New Roman"/>
          <w:b w:val="0"/>
          <w:color w:val="auto"/>
          <w:sz w:val="24"/>
          <w:szCs w:val="24"/>
          <w:highlight w:val="none"/>
        </w:rPr>
        <w:t>10、竞争性磋商响应文件不予受理的情形</w:t>
      </w:r>
    </w:p>
    <w:p w14:paraId="6CC31913">
      <w:pPr>
        <w:spacing w:line="360" w:lineRule="auto"/>
        <w:ind w:firstLine="472" w:firstLineChars="225"/>
        <w:rPr>
          <w:color w:val="auto"/>
          <w:sz w:val="21"/>
          <w:szCs w:val="21"/>
          <w:highlight w:val="none"/>
        </w:rPr>
      </w:pPr>
      <w:r>
        <w:rPr>
          <w:rFonts w:hint="eastAsia"/>
          <w:color w:val="auto"/>
          <w:sz w:val="21"/>
          <w:szCs w:val="21"/>
          <w:highlight w:val="none"/>
        </w:rPr>
        <w:t>竞争性磋商响应文件有下列情形之一的，发包人不予受理：</w:t>
      </w:r>
    </w:p>
    <w:p w14:paraId="13A5EAF6">
      <w:pPr>
        <w:spacing w:line="360" w:lineRule="auto"/>
        <w:ind w:firstLine="472" w:firstLineChars="225"/>
        <w:rPr>
          <w:color w:val="auto"/>
          <w:sz w:val="21"/>
          <w:szCs w:val="21"/>
          <w:highlight w:val="none"/>
        </w:rPr>
      </w:pPr>
      <w:r>
        <w:rPr>
          <w:rFonts w:hint="eastAsia"/>
          <w:color w:val="auto"/>
          <w:sz w:val="21"/>
          <w:szCs w:val="21"/>
          <w:highlight w:val="none"/>
        </w:rPr>
        <w:t>（1）在供应商须知前附表33项规定的“竞争性磋商响应文件递交截止时间”以后逾期网上上传的；</w:t>
      </w:r>
    </w:p>
    <w:p w14:paraId="5F3398FC">
      <w:pPr>
        <w:spacing w:line="360" w:lineRule="auto"/>
        <w:ind w:firstLine="472" w:firstLineChars="225"/>
        <w:rPr>
          <w:color w:val="auto"/>
          <w:sz w:val="21"/>
          <w:szCs w:val="21"/>
          <w:highlight w:val="none"/>
        </w:rPr>
      </w:pPr>
      <w:r>
        <w:rPr>
          <w:rFonts w:hint="eastAsia"/>
          <w:color w:val="auto"/>
          <w:sz w:val="21"/>
          <w:szCs w:val="21"/>
          <w:highlight w:val="none"/>
        </w:rPr>
        <w:t>（2）供应商提交的电子标书格式不符合前附表30项要求或无法解密导入的；</w:t>
      </w:r>
    </w:p>
    <w:p w14:paraId="5980EF89">
      <w:pPr>
        <w:pStyle w:val="5"/>
        <w:spacing w:before="0" w:after="0" w:line="360" w:lineRule="auto"/>
        <w:rPr>
          <w:rFonts w:ascii="Times New Roman" w:hAnsi="Times New Roman"/>
          <w:b w:val="0"/>
          <w:color w:val="auto"/>
          <w:sz w:val="24"/>
          <w:szCs w:val="24"/>
          <w:highlight w:val="none"/>
        </w:rPr>
      </w:pPr>
      <w:r>
        <w:rPr>
          <w:rFonts w:hint="eastAsia" w:ascii="Times New Roman" w:hAnsi="Times New Roman"/>
          <w:b w:val="0"/>
          <w:color w:val="auto"/>
          <w:sz w:val="24"/>
          <w:szCs w:val="24"/>
          <w:highlight w:val="none"/>
        </w:rPr>
        <w:t>11、磋商小组组建</w:t>
      </w:r>
    </w:p>
    <w:p w14:paraId="42723B81">
      <w:pPr>
        <w:spacing w:line="360" w:lineRule="auto"/>
        <w:ind w:firstLine="472" w:firstLineChars="225"/>
        <w:rPr>
          <w:color w:val="auto"/>
          <w:sz w:val="21"/>
          <w:szCs w:val="21"/>
          <w:highlight w:val="none"/>
        </w:rPr>
      </w:pPr>
      <w:r>
        <w:rPr>
          <w:rFonts w:hint="eastAsia"/>
          <w:color w:val="auto"/>
          <w:sz w:val="21"/>
          <w:szCs w:val="21"/>
          <w:highlight w:val="none"/>
        </w:rPr>
        <w:t>11.1评审由发包人依法组建的磋商小组负责。磋商小组成员在评标专家库中随机抽取技术、经济等方面的专家组建而成。</w:t>
      </w:r>
    </w:p>
    <w:p w14:paraId="33618A72">
      <w:pPr>
        <w:spacing w:line="360" w:lineRule="auto"/>
        <w:ind w:firstLine="472" w:firstLineChars="225"/>
        <w:rPr>
          <w:color w:val="auto"/>
          <w:sz w:val="21"/>
          <w:szCs w:val="21"/>
          <w:highlight w:val="none"/>
        </w:rPr>
      </w:pPr>
      <w:r>
        <w:rPr>
          <w:rFonts w:hint="eastAsia"/>
          <w:color w:val="auto"/>
          <w:sz w:val="21"/>
          <w:szCs w:val="21"/>
          <w:highlight w:val="none"/>
        </w:rPr>
        <w:t>11.2磋商小组成员有下列情形之一的，应当回避：</w:t>
      </w:r>
    </w:p>
    <w:p w14:paraId="4009154D">
      <w:pPr>
        <w:spacing w:line="360" w:lineRule="auto"/>
        <w:ind w:firstLine="472" w:firstLineChars="225"/>
        <w:rPr>
          <w:color w:val="auto"/>
          <w:sz w:val="21"/>
          <w:szCs w:val="21"/>
          <w:highlight w:val="none"/>
        </w:rPr>
      </w:pPr>
      <w:r>
        <w:rPr>
          <w:rFonts w:hint="eastAsia"/>
          <w:color w:val="auto"/>
          <w:sz w:val="21"/>
          <w:szCs w:val="21"/>
          <w:highlight w:val="none"/>
        </w:rPr>
        <w:t>（1）发包人或供应商的主要负责人的近亲属；</w:t>
      </w:r>
    </w:p>
    <w:p w14:paraId="3782F54D">
      <w:pPr>
        <w:spacing w:line="360" w:lineRule="auto"/>
        <w:ind w:firstLine="472" w:firstLineChars="225"/>
        <w:rPr>
          <w:color w:val="auto"/>
          <w:sz w:val="21"/>
          <w:szCs w:val="21"/>
          <w:highlight w:val="none"/>
        </w:rPr>
      </w:pPr>
      <w:r>
        <w:rPr>
          <w:rFonts w:hint="eastAsia"/>
          <w:color w:val="auto"/>
          <w:sz w:val="21"/>
          <w:szCs w:val="21"/>
          <w:highlight w:val="none"/>
        </w:rPr>
        <w:t>（2）项目主管部门或者行政监督部门的人员；</w:t>
      </w:r>
    </w:p>
    <w:p w14:paraId="36096C01">
      <w:pPr>
        <w:spacing w:line="360" w:lineRule="auto"/>
        <w:ind w:firstLine="472" w:firstLineChars="225"/>
        <w:rPr>
          <w:color w:val="auto"/>
          <w:sz w:val="21"/>
          <w:szCs w:val="21"/>
          <w:highlight w:val="none"/>
        </w:rPr>
      </w:pPr>
      <w:r>
        <w:rPr>
          <w:rFonts w:hint="eastAsia"/>
          <w:color w:val="auto"/>
          <w:sz w:val="21"/>
          <w:szCs w:val="21"/>
          <w:highlight w:val="none"/>
        </w:rPr>
        <w:t>（3）与供应商有经济利益关系，可能影响公正评审的；</w:t>
      </w:r>
    </w:p>
    <w:p w14:paraId="228144D2">
      <w:pPr>
        <w:spacing w:line="360" w:lineRule="auto"/>
        <w:ind w:firstLine="472" w:firstLineChars="225"/>
        <w:rPr>
          <w:color w:val="auto"/>
          <w:sz w:val="21"/>
          <w:szCs w:val="21"/>
          <w:highlight w:val="none"/>
        </w:rPr>
      </w:pPr>
      <w:r>
        <w:rPr>
          <w:rFonts w:hint="eastAsia"/>
          <w:color w:val="auto"/>
          <w:sz w:val="21"/>
          <w:szCs w:val="21"/>
          <w:highlight w:val="none"/>
        </w:rPr>
        <w:t>（4）曾因在招标、评标以及其他与招标投标有关活动中从事违法行为而受过行政处罚或刑事处罚的。</w:t>
      </w:r>
    </w:p>
    <w:p w14:paraId="5439F9B0">
      <w:pPr>
        <w:pStyle w:val="5"/>
        <w:spacing w:before="0" w:after="0" w:line="360" w:lineRule="auto"/>
        <w:rPr>
          <w:rFonts w:ascii="Times New Roman" w:hAnsi="Times New Roman"/>
          <w:b w:val="0"/>
          <w:color w:val="auto"/>
          <w:sz w:val="24"/>
          <w:szCs w:val="24"/>
          <w:highlight w:val="none"/>
        </w:rPr>
      </w:pPr>
      <w:r>
        <w:rPr>
          <w:rFonts w:hint="eastAsia" w:ascii="Times New Roman" w:hAnsi="Times New Roman"/>
          <w:b w:val="0"/>
          <w:color w:val="auto"/>
          <w:sz w:val="24"/>
          <w:szCs w:val="24"/>
          <w:highlight w:val="none"/>
        </w:rPr>
        <w:t>12、评审原则</w:t>
      </w:r>
    </w:p>
    <w:p w14:paraId="4F2CC721">
      <w:pPr>
        <w:spacing w:line="360" w:lineRule="auto"/>
        <w:ind w:firstLine="472" w:firstLineChars="225"/>
        <w:rPr>
          <w:color w:val="auto"/>
          <w:sz w:val="21"/>
          <w:szCs w:val="21"/>
          <w:highlight w:val="none"/>
        </w:rPr>
      </w:pPr>
      <w:r>
        <w:rPr>
          <w:rFonts w:hint="eastAsia"/>
          <w:color w:val="auto"/>
          <w:sz w:val="21"/>
          <w:szCs w:val="21"/>
          <w:highlight w:val="none"/>
        </w:rPr>
        <w:t>评审活动遵循公平、公正、科学和择优的原则。</w:t>
      </w:r>
    </w:p>
    <w:p w14:paraId="03E00FF0">
      <w:pPr>
        <w:pStyle w:val="5"/>
        <w:spacing w:before="0" w:after="0" w:line="360" w:lineRule="auto"/>
        <w:rPr>
          <w:rFonts w:ascii="Times New Roman" w:hAnsi="Times New Roman"/>
          <w:b w:val="0"/>
          <w:color w:val="auto"/>
          <w:sz w:val="24"/>
          <w:szCs w:val="24"/>
          <w:highlight w:val="none"/>
        </w:rPr>
      </w:pPr>
      <w:r>
        <w:rPr>
          <w:rFonts w:hint="eastAsia" w:ascii="Times New Roman" w:hAnsi="Times New Roman"/>
          <w:b w:val="0"/>
          <w:color w:val="auto"/>
          <w:sz w:val="24"/>
          <w:szCs w:val="24"/>
          <w:highlight w:val="none"/>
        </w:rPr>
        <w:t>13、竞争性磋商评审办法</w:t>
      </w:r>
    </w:p>
    <w:p w14:paraId="45D02096">
      <w:pPr>
        <w:spacing w:line="360" w:lineRule="auto"/>
        <w:ind w:firstLine="472" w:firstLineChars="225"/>
        <w:rPr>
          <w:color w:val="auto"/>
          <w:sz w:val="21"/>
          <w:szCs w:val="21"/>
          <w:highlight w:val="none"/>
        </w:rPr>
      </w:pPr>
      <w:r>
        <w:rPr>
          <w:rFonts w:hint="eastAsia"/>
          <w:color w:val="auto"/>
          <w:sz w:val="21"/>
          <w:szCs w:val="21"/>
          <w:highlight w:val="none"/>
        </w:rPr>
        <w:t>详见第三章竞争性磋商评审办法。</w:t>
      </w:r>
    </w:p>
    <w:p w14:paraId="5C7EEF62">
      <w:pPr>
        <w:pStyle w:val="5"/>
        <w:spacing w:before="0" w:after="0" w:line="360" w:lineRule="auto"/>
        <w:jc w:val="both"/>
        <w:rPr>
          <w:rFonts w:ascii="Times New Roman" w:hAnsi="Times New Roman"/>
          <w:b w:val="0"/>
          <w:bCs w:val="0"/>
          <w:color w:val="auto"/>
          <w:sz w:val="24"/>
          <w:szCs w:val="24"/>
          <w:highlight w:val="none"/>
        </w:rPr>
      </w:pPr>
      <w:r>
        <w:rPr>
          <w:rFonts w:hint="eastAsia" w:ascii="Times New Roman" w:hAnsi="Times New Roman"/>
          <w:b w:val="0"/>
          <w:bCs w:val="0"/>
          <w:color w:val="auto"/>
          <w:sz w:val="24"/>
          <w:szCs w:val="24"/>
          <w:highlight w:val="none"/>
        </w:rPr>
        <w:t>14、履约担保</w:t>
      </w:r>
    </w:p>
    <w:p w14:paraId="0CB27B17">
      <w:pPr>
        <w:spacing w:line="360" w:lineRule="auto"/>
        <w:ind w:firstLine="472" w:firstLineChars="225"/>
        <w:rPr>
          <w:color w:val="auto"/>
          <w:sz w:val="21"/>
          <w:szCs w:val="21"/>
          <w:highlight w:val="none"/>
        </w:rPr>
      </w:pPr>
      <w:r>
        <w:rPr>
          <w:rFonts w:hint="eastAsia"/>
          <w:color w:val="auto"/>
          <w:sz w:val="21"/>
          <w:szCs w:val="21"/>
          <w:highlight w:val="none"/>
        </w:rPr>
        <w:t>详见磋商须知前附表。</w:t>
      </w:r>
    </w:p>
    <w:p w14:paraId="3628D7D4">
      <w:pPr>
        <w:pStyle w:val="5"/>
        <w:spacing w:before="0" w:after="0" w:line="360" w:lineRule="auto"/>
        <w:jc w:val="both"/>
        <w:rPr>
          <w:rFonts w:ascii="Times New Roman" w:hAnsi="Times New Roman"/>
          <w:b w:val="0"/>
          <w:bCs w:val="0"/>
          <w:color w:val="auto"/>
          <w:sz w:val="24"/>
          <w:szCs w:val="24"/>
          <w:highlight w:val="none"/>
        </w:rPr>
      </w:pPr>
      <w:r>
        <w:rPr>
          <w:rFonts w:hint="eastAsia" w:ascii="Times New Roman" w:hAnsi="Times New Roman"/>
          <w:b w:val="0"/>
          <w:bCs w:val="0"/>
          <w:color w:val="auto"/>
          <w:sz w:val="24"/>
          <w:szCs w:val="24"/>
          <w:highlight w:val="none"/>
        </w:rPr>
        <w:t>15、磋商保证金不予退还情形</w:t>
      </w:r>
    </w:p>
    <w:p w14:paraId="57ECBBE0">
      <w:pPr>
        <w:spacing w:line="360" w:lineRule="auto"/>
        <w:ind w:firstLine="472" w:firstLineChars="225"/>
        <w:rPr>
          <w:color w:val="auto"/>
          <w:sz w:val="21"/>
          <w:szCs w:val="21"/>
          <w:highlight w:val="none"/>
        </w:rPr>
      </w:pPr>
      <w:r>
        <w:rPr>
          <w:rFonts w:hint="eastAsia"/>
          <w:color w:val="auto"/>
          <w:sz w:val="21"/>
          <w:szCs w:val="21"/>
          <w:highlight w:val="none"/>
        </w:rPr>
        <w:t>有下列情形之一的，磋商保证金不予退还：</w:t>
      </w:r>
    </w:p>
    <w:p w14:paraId="2FF074BD">
      <w:pPr>
        <w:spacing w:line="360" w:lineRule="auto"/>
        <w:ind w:firstLine="472" w:firstLineChars="225"/>
        <w:rPr>
          <w:color w:val="auto"/>
          <w:sz w:val="21"/>
          <w:szCs w:val="21"/>
          <w:highlight w:val="none"/>
        </w:rPr>
      </w:pPr>
      <w:r>
        <w:rPr>
          <w:rFonts w:hint="eastAsia"/>
          <w:color w:val="auto"/>
          <w:sz w:val="21"/>
          <w:szCs w:val="21"/>
          <w:highlight w:val="none"/>
        </w:rPr>
        <w:t>（一）供应商在提交响应文件截止时间后撤回响应文件的；</w:t>
      </w:r>
    </w:p>
    <w:p w14:paraId="36BB53DF">
      <w:pPr>
        <w:spacing w:line="360" w:lineRule="auto"/>
        <w:ind w:firstLine="472" w:firstLineChars="225"/>
        <w:rPr>
          <w:color w:val="auto"/>
          <w:sz w:val="21"/>
          <w:szCs w:val="21"/>
          <w:highlight w:val="none"/>
        </w:rPr>
      </w:pPr>
      <w:r>
        <w:rPr>
          <w:rFonts w:hint="eastAsia"/>
          <w:color w:val="auto"/>
          <w:sz w:val="21"/>
          <w:szCs w:val="21"/>
          <w:highlight w:val="none"/>
        </w:rPr>
        <w:t>（二）供应商在响应文件中提供虚假材料的；</w:t>
      </w:r>
    </w:p>
    <w:p w14:paraId="4B8D6A5A">
      <w:pPr>
        <w:spacing w:line="360" w:lineRule="auto"/>
        <w:ind w:firstLine="472" w:firstLineChars="225"/>
        <w:rPr>
          <w:color w:val="auto"/>
          <w:sz w:val="21"/>
          <w:szCs w:val="21"/>
          <w:highlight w:val="none"/>
        </w:rPr>
      </w:pPr>
      <w:r>
        <w:rPr>
          <w:rFonts w:hint="eastAsia"/>
          <w:color w:val="auto"/>
          <w:sz w:val="21"/>
          <w:szCs w:val="21"/>
          <w:highlight w:val="none"/>
        </w:rPr>
        <w:t>（三）除因不可抗力或磋商文件认可的情形以外，成交人不与发包人签订合同的；</w:t>
      </w:r>
    </w:p>
    <w:p w14:paraId="0B35DE75">
      <w:pPr>
        <w:spacing w:line="360" w:lineRule="auto"/>
        <w:ind w:firstLine="472" w:firstLineChars="225"/>
        <w:rPr>
          <w:color w:val="auto"/>
          <w:sz w:val="21"/>
          <w:szCs w:val="21"/>
          <w:highlight w:val="none"/>
        </w:rPr>
      </w:pPr>
      <w:r>
        <w:rPr>
          <w:rFonts w:hint="eastAsia"/>
          <w:color w:val="auto"/>
          <w:sz w:val="21"/>
          <w:szCs w:val="21"/>
          <w:highlight w:val="none"/>
        </w:rPr>
        <w:t>（四）供应商与发包人、其他供应商或者招标代理机构恶意串通的；</w:t>
      </w:r>
    </w:p>
    <w:p w14:paraId="2CA3E73A">
      <w:pPr>
        <w:spacing w:line="360" w:lineRule="auto"/>
        <w:ind w:firstLine="472" w:firstLineChars="225"/>
        <w:rPr>
          <w:color w:val="auto"/>
          <w:sz w:val="21"/>
          <w:szCs w:val="21"/>
          <w:highlight w:val="none"/>
        </w:rPr>
      </w:pPr>
      <w:r>
        <w:rPr>
          <w:rFonts w:hint="eastAsia"/>
          <w:color w:val="auto"/>
          <w:sz w:val="21"/>
          <w:szCs w:val="21"/>
          <w:highlight w:val="none"/>
        </w:rPr>
        <w:t>（五）法律法规规定的其他情形。</w:t>
      </w:r>
      <w:bookmarkStart w:id="36" w:name="_Toc24531"/>
    </w:p>
    <w:p w14:paraId="26EA62CE">
      <w:pPr>
        <w:pStyle w:val="2"/>
        <w:spacing w:line="360" w:lineRule="auto"/>
        <w:jc w:val="center"/>
        <w:rPr>
          <w:rFonts w:eastAsia="黑体"/>
          <w:color w:val="auto"/>
          <w:sz w:val="36"/>
          <w:szCs w:val="36"/>
          <w:highlight w:val="none"/>
        </w:rPr>
      </w:pPr>
      <w:r>
        <w:rPr>
          <w:rFonts w:eastAsia="黑体"/>
          <w:color w:val="auto"/>
          <w:sz w:val="36"/>
          <w:szCs w:val="36"/>
          <w:highlight w:val="none"/>
        </w:rPr>
        <w:br w:type="page"/>
      </w:r>
      <w:bookmarkStart w:id="37" w:name="_Toc57900427"/>
      <w:bookmarkStart w:id="38" w:name="_Toc240288648"/>
      <w:bookmarkStart w:id="39" w:name="_Toc243176581"/>
      <w:r>
        <w:rPr>
          <w:rFonts w:hint="eastAsia" w:eastAsia="黑体"/>
          <w:color w:val="auto"/>
          <w:sz w:val="36"/>
          <w:szCs w:val="36"/>
          <w:highlight w:val="none"/>
        </w:rPr>
        <w:t>第三章 评审办法</w:t>
      </w:r>
      <w:bookmarkEnd w:id="36"/>
      <w:bookmarkEnd w:id="37"/>
      <w:bookmarkEnd w:id="38"/>
      <w:bookmarkEnd w:id="39"/>
    </w:p>
    <w:p w14:paraId="08DD3E4C">
      <w:pPr>
        <w:pStyle w:val="5"/>
        <w:adjustRightInd w:val="0"/>
        <w:snapToGrid w:val="0"/>
        <w:spacing w:before="0" w:after="0" w:line="360" w:lineRule="auto"/>
        <w:jc w:val="center"/>
        <w:rPr>
          <w:color w:val="auto"/>
          <w:sz w:val="21"/>
          <w:szCs w:val="21"/>
          <w:highlight w:val="none"/>
        </w:rPr>
      </w:pPr>
      <w:bookmarkStart w:id="40" w:name="_Hlk161199459"/>
      <w:r>
        <w:rPr>
          <w:rFonts w:hint="eastAsia" w:ascii="Times New Roman" w:hAnsi="Times New Roman"/>
          <w:b w:val="0"/>
          <w:color w:val="auto"/>
          <w:sz w:val="30"/>
          <w:szCs w:val="30"/>
          <w:highlight w:val="none"/>
        </w:rPr>
        <w:t>竞争性磋商评审办法前附表</w:t>
      </w:r>
    </w:p>
    <w:tbl>
      <w:tblPr>
        <w:tblStyle w:val="54"/>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134"/>
        <w:gridCol w:w="1701"/>
        <w:gridCol w:w="5812"/>
      </w:tblGrid>
      <w:tr w14:paraId="42839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2093" w:type="dxa"/>
            <w:gridSpan w:val="2"/>
            <w:tcBorders>
              <w:top w:val="single" w:color="auto" w:sz="4" w:space="0"/>
              <w:left w:val="single" w:color="auto" w:sz="4" w:space="0"/>
              <w:bottom w:val="single" w:color="auto" w:sz="4" w:space="0"/>
              <w:right w:val="single" w:color="auto" w:sz="4" w:space="0"/>
            </w:tcBorders>
            <w:vAlign w:val="center"/>
          </w:tcPr>
          <w:p w14:paraId="2AABABB3">
            <w:pPr>
              <w:autoSpaceDE w:val="0"/>
              <w:autoSpaceDN w:val="0"/>
              <w:adjustRightInd w:val="0"/>
              <w:spacing w:line="360" w:lineRule="auto"/>
              <w:jc w:val="center"/>
              <w:rPr>
                <w:rFonts w:hint="eastAsia" w:ascii="宋体" w:hAnsi="宋体"/>
                <w:b/>
                <w:color w:val="auto"/>
                <w:sz w:val="21"/>
                <w:szCs w:val="21"/>
                <w:highlight w:val="none"/>
              </w:rPr>
            </w:pPr>
            <w:r>
              <w:rPr>
                <w:rFonts w:hint="eastAsia" w:ascii="宋体" w:hAnsi="宋体"/>
                <w:b/>
                <w:color w:val="auto"/>
                <w:sz w:val="21"/>
                <w:szCs w:val="21"/>
                <w:highlight w:val="none"/>
              </w:rPr>
              <w:t>条款号</w:t>
            </w:r>
          </w:p>
        </w:tc>
        <w:tc>
          <w:tcPr>
            <w:tcW w:w="1701" w:type="dxa"/>
            <w:tcBorders>
              <w:top w:val="single" w:color="auto" w:sz="4" w:space="0"/>
              <w:left w:val="single" w:color="auto" w:sz="4" w:space="0"/>
              <w:bottom w:val="single" w:color="auto" w:sz="4" w:space="0"/>
              <w:right w:val="single" w:color="auto" w:sz="4" w:space="0"/>
            </w:tcBorders>
            <w:vAlign w:val="center"/>
          </w:tcPr>
          <w:p w14:paraId="16E6AD73">
            <w:pPr>
              <w:autoSpaceDE w:val="0"/>
              <w:autoSpaceDN w:val="0"/>
              <w:adjustRightInd w:val="0"/>
              <w:spacing w:line="360" w:lineRule="auto"/>
              <w:jc w:val="center"/>
              <w:rPr>
                <w:rFonts w:hint="eastAsia" w:ascii="宋体" w:hAnsi="宋体"/>
                <w:b/>
                <w:color w:val="auto"/>
                <w:sz w:val="21"/>
                <w:szCs w:val="21"/>
                <w:highlight w:val="none"/>
              </w:rPr>
            </w:pPr>
            <w:r>
              <w:rPr>
                <w:rFonts w:hint="eastAsia" w:ascii="宋体" w:hAnsi="宋体"/>
                <w:b/>
                <w:color w:val="auto"/>
                <w:sz w:val="21"/>
                <w:szCs w:val="21"/>
                <w:highlight w:val="none"/>
              </w:rPr>
              <w:t>评审因素</w:t>
            </w:r>
          </w:p>
        </w:tc>
        <w:tc>
          <w:tcPr>
            <w:tcW w:w="5812" w:type="dxa"/>
            <w:tcBorders>
              <w:top w:val="single" w:color="auto" w:sz="4" w:space="0"/>
              <w:left w:val="single" w:color="auto" w:sz="4" w:space="0"/>
              <w:bottom w:val="single" w:color="auto" w:sz="4" w:space="0"/>
              <w:right w:val="single" w:color="auto" w:sz="4" w:space="0"/>
            </w:tcBorders>
            <w:vAlign w:val="center"/>
          </w:tcPr>
          <w:p w14:paraId="2A98C9D4">
            <w:pPr>
              <w:autoSpaceDE w:val="0"/>
              <w:autoSpaceDN w:val="0"/>
              <w:adjustRightInd w:val="0"/>
              <w:spacing w:line="360" w:lineRule="auto"/>
              <w:jc w:val="center"/>
              <w:rPr>
                <w:rFonts w:hint="eastAsia" w:ascii="宋体" w:hAnsi="宋体"/>
                <w:b/>
                <w:color w:val="auto"/>
                <w:sz w:val="21"/>
                <w:szCs w:val="21"/>
                <w:highlight w:val="none"/>
              </w:rPr>
            </w:pPr>
            <w:r>
              <w:rPr>
                <w:rFonts w:hint="eastAsia" w:ascii="宋体" w:hAnsi="宋体"/>
                <w:b/>
                <w:color w:val="auto"/>
                <w:sz w:val="21"/>
                <w:szCs w:val="21"/>
                <w:highlight w:val="none"/>
              </w:rPr>
              <w:t>评审标准</w:t>
            </w:r>
          </w:p>
        </w:tc>
      </w:tr>
      <w:tr w14:paraId="65EC2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959" w:type="dxa"/>
            <w:vMerge w:val="restart"/>
            <w:tcBorders>
              <w:top w:val="single" w:color="auto" w:sz="4" w:space="0"/>
              <w:left w:val="single" w:color="auto" w:sz="4" w:space="0"/>
              <w:bottom w:val="single" w:color="auto" w:sz="4" w:space="0"/>
              <w:right w:val="single" w:color="auto" w:sz="4" w:space="0"/>
            </w:tcBorders>
            <w:vAlign w:val="center"/>
          </w:tcPr>
          <w:p w14:paraId="4CE7749D">
            <w:pPr>
              <w:spacing w:line="360" w:lineRule="auto"/>
              <w:jc w:val="center"/>
              <w:rPr>
                <w:rFonts w:hint="eastAsia" w:ascii="宋体" w:hAnsi="宋体"/>
                <w:color w:val="auto"/>
                <w:sz w:val="21"/>
                <w:szCs w:val="21"/>
                <w:highlight w:val="none"/>
              </w:rPr>
            </w:pPr>
            <w:r>
              <w:rPr>
                <w:rFonts w:hint="eastAsia" w:ascii="宋体" w:hAnsi="宋体"/>
                <w:color w:val="auto"/>
                <w:sz w:val="21"/>
                <w:szCs w:val="21"/>
                <w:highlight w:val="none"/>
              </w:rPr>
              <w:t>2.1.1</w:t>
            </w:r>
          </w:p>
        </w:tc>
        <w:tc>
          <w:tcPr>
            <w:tcW w:w="1134" w:type="dxa"/>
            <w:vMerge w:val="restart"/>
            <w:tcBorders>
              <w:top w:val="single" w:color="auto" w:sz="4" w:space="0"/>
              <w:left w:val="single" w:color="auto" w:sz="4" w:space="0"/>
              <w:right w:val="single" w:color="auto" w:sz="4" w:space="0"/>
            </w:tcBorders>
            <w:vAlign w:val="center"/>
          </w:tcPr>
          <w:p w14:paraId="66718120">
            <w:pPr>
              <w:spacing w:line="360" w:lineRule="auto"/>
              <w:jc w:val="center"/>
              <w:rPr>
                <w:rFonts w:hint="eastAsia" w:ascii="宋体" w:hAnsi="宋体"/>
                <w:color w:val="auto"/>
                <w:sz w:val="21"/>
                <w:szCs w:val="21"/>
                <w:highlight w:val="none"/>
              </w:rPr>
            </w:pPr>
            <w:r>
              <w:rPr>
                <w:rFonts w:hint="eastAsia" w:ascii="宋体" w:hAnsi="宋体"/>
                <w:color w:val="auto"/>
                <w:sz w:val="21"/>
                <w:szCs w:val="21"/>
                <w:highlight w:val="none"/>
              </w:rPr>
              <w:t>资格评审标准</w:t>
            </w:r>
          </w:p>
        </w:tc>
        <w:tc>
          <w:tcPr>
            <w:tcW w:w="1701" w:type="dxa"/>
            <w:tcBorders>
              <w:top w:val="single" w:color="auto" w:sz="4" w:space="0"/>
              <w:left w:val="single" w:color="auto" w:sz="4" w:space="0"/>
              <w:bottom w:val="single" w:color="auto" w:sz="4" w:space="0"/>
              <w:right w:val="single" w:color="auto" w:sz="4" w:space="0"/>
            </w:tcBorders>
            <w:vAlign w:val="center"/>
          </w:tcPr>
          <w:p w14:paraId="2B739D84">
            <w:pPr>
              <w:autoSpaceDE w:val="0"/>
              <w:autoSpaceDN w:val="0"/>
              <w:adjustRightIn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法定凭证</w:t>
            </w:r>
          </w:p>
        </w:tc>
        <w:tc>
          <w:tcPr>
            <w:tcW w:w="5812" w:type="dxa"/>
            <w:tcBorders>
              <w:top w:val="single" w:color="auto" w:sz="4" w:space="0"/>
              <w:left w:val="single" w:color="auto" w:sz="4" w:space="0"/>
              <w:bottom w:val="single" w:color="auto" w:sz="4" w:space="0"/>
              <w:right w:val="single" w:color="auto" w:sz="4" w:space="0"/>
            </w:tcBorders>
            <w:vAlign w:val="center"/>
          </w:tcPr>
          <w:p w14:paraId="0D6E9238">
            <w:pPr>
              <w:widowControl w:val="0"/>
              <w:snapToGrid w:val="0"/>
              <w:spacing w:line="360" w:lineRule="auto"/>
              <w:jc w:val="both"/>
              <w:rPr>
                <w:rFonts w:hint="eastAsia" w:ascii="宋体" w:hAnsi="宋体"/>
                <w:color w:val="auto"/>
                <w:sz w:val="21"/>
                <w:szCs w:val="21"/>
                <w:highlight w:val="none"/>
              </w:rPr>
            </w:pPr>
            <w:r>
              <w:rPr>
                <w:color w:val="auto"/>
                <w:sz w:val="21"/>
                <w:szCs w:val="21"/>
                <w:highlight w:val="none"/>
              </w:rPr>
              <w:t>1、具有独立承担民事责任的能力，具备相关部门登记核发的律师事务所执业许可证（或分所执业许可证），具有有效的律师事务所执业许可证或其他法定凭证；</w:t>
            </w:r>
            <w:r>
              <w:rPr>
                <w:color w:val="auto"/>
                <w:sz w:val="21"/>
                <w:szCs w:val="21"/>
                <w:highlight w:val="none"/>
              </w:rPr>
              <w:br w:type="textWrapping"/>
            </w:r>
            <w:r>
              <w:rPr>
                <w:color w:val="auto"/>
                <w:sz w:val="21"/>
                <w:szCs w:val="21"/>
                <w:highlight w:val="none"/>
              </w:rPr>
              <w:t>2、附有效的律师事务所执业许可证（或分所执业许可证、其他法定证明文件）扫描件。</w:t>
            </w:r>
          </w:p>
        </w:tc>
      </w:tr>
      <w:tr w14:paraId="57234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959" w:type="dxa"/>
            <w:vMerge w:val="continue"/>
            <w:tcBorders>
              <w:top w:val="single" w:color="auto" w:sz="4" w:space="0"/>
              <w:left w:val="single" w:color="auto" w:sz="4" w:space="0"/>
              <w:bottom w:val="single" w:color="auto" w:sz="4" w:space="0"/>
              <w:right w:val="single" w:color="auto" w:sz="4" w:space="0"/>
            </w:tcBorders>
            <w:vAlign w:val="center"/>
          </w:tcPr>
          <w:p w14:paraId="300DD920">
            <w:pPr>
              <w:spacing w:line="360" w:lineRule="auto"/>
              <w:jc w:val="center"/>
              <w:rPr>
                <w:rFonts w:hint="eastAsia" w:ascii="宋体" w:hAnsi="宋体"/>
                <w:color w:val="auto"/>
                <w:sz w:val="21"/>
                <w:szCs w:val="21"/>
                <w:highlight w:val="none"/>
              </w:rPr>
            </w:pPr>
          </w:p>
        </w:tc>
        <w:tc>
          <w:tcPr>
            <w:tcW w:w="1134" w:type="dxa"/>
            <w:vMerge w:val="continue"/>
            <w:tcBorders>
              <w:top w:val="single" w:color="auto" w:sz="4" w:space="0"/>
              <w:left w:val="single" w:color="auto" w:sz="4" w:space="0"/>
              <w:right w:val="single" w:color="auto" w:sz="4" w:space="0"/>
            </w:tcBorders>
            <w:vAlign w:val="center"/>
          </w:tcPr>
          <w:p w14:paraId="1E4F670F">
            <w:pPr>
              <w:spacing w:line="360" w:lineRule="auto"/>
              <w:jc w:val="center"/>
              <w:rPr>
                <w:rFonts w:hint="eastAsia" w:ascii="宋体" w:hAnsi="宋体"/>
                <w:color w:val="auto"/>
                <w:sz w:val="21"/>
                <w:szCs w:val="21"/>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14:paraId="67317A65">
            <w:pPr>
              <w:autoSpaceDE w:val="0"/>
              <w:autoSpaceDN w:val="0"/>
              <w:adjustRightIn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财务状况</w:t>
            </w:r>
          </w:p>
        </w:tc>
        <w:tc>
          <w:tcPr>
            <w:tcW w:w="5812" w:type="dxa"/>
            <w:tcBorders>
              <w:top w:val="single" w:color="auto" w:sz="4" w:space="0"/>
              <w:left w:val="single" w:color="auto" w:sz="4" w:space="0"/>
              <w:bottom w:val="single" w:color="auto" w:sz="4" w:space="0"/>
              <w:right w:val="single" w:color="auto" w:sz="4" w:space="0"/>
            </w:tcBorders>
            <w:vAlign w:val="center"/>
          </w:tcPr>
          <w:p w14:paraId="70316DA0">
            <w:pPr>
              <w:widowControl w:val="0"/>
              <w:snapToGrid w:val="0"/>
              <w:spacing w:line="360" w:lineRule="auto"/>
              <w:jc w:val="both"/>
              <w:rPr>
                <w:rFonts w:hint="eastAsia" w:ascii="宋体" w:hAnsi="宋体"/>
                <w:color w:val="auto"/>
                <w:sz w:val="21"/>
                <w:szCs w:val="21"/>
                <w:highlight w:val="none"/>
              </w:rPr>
            </w:pPr>
            <w:r>
              <w:rPr>
                <w:rFonts w:hint="eastAsia" w:ascii="宋体" w:hAnsi="宋体"/>
                <w:color w:val="auto"/>
                <w:sz w:val="21"/>
                <w:szCs w:val="21"/>
                <w:highlight w:val="none"/>
              </w:rPr>
              <w:t>1、具有健全的财务会计制度，须提供2024年度或2025年度经第三方机构审计的审计报告或财务报表【包括但不限于：资产负债表、现金流量表、利润表（或损益表，下同）】或其基本开户银行2025年度出具的资信证明或担保机构针对本项目出具的担保函或供应商企业自身编制的符合现行会计制度下的2024年度或2025年度财务报表或承诺函】</w:t>
            </w:r>
          </w:p>
          <w:p w14:paraId="33477369">
            <w:pPr>
              <w:widowControl w:val="0"/>
              <w:snapToGrid w:val="0"/>
              <w:spacing w:line="360" w:lineRule="auto"/>
              <w:jc w:val="both"/>
              <w:rPr>
                <w:rFonts w:hint="eastAsia" w:ascii="宋体" w:hAnsi="宋体"/>
                <w:color w:val="auto"/>
                <w:sz w:val="21"/>
                <w:szCs w:val="21"/>
                <w:highlight w:val="none"/>
              </w:rPr>
            </w:pPr>
            <w:r>
              <w:rPr>
                <w:rFonts w:hint="eastAsia" w:ascii="宋体" w:hAnsi="宋体"/>
                <w:color w:val="auto"/>
                <w:sz w:val="21"/>
                <w:szCs w:val="21"/>
                <w:highlight w:val="none"/>
              </w:rPr>
              <w:t>2、附审计报告或财务报表或资信证明或担保函或自身编制的财务报表或承诺函。</w:t>
            </w:r>
          </w:p>
        </w:tc>
      </w:tr>
      <w:tr w14:paraId="364D9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959" w:type="dxa"/>
            <w:vMerge w:val="continue"/>
            <w:tcBorders>
              <w:top w:val="single" w:color="auto" w:sz="4" w:space="0"/>
              <w:left w:val="single" w:color="auto" w:sz="4" w:space="0"/>
              <w:bottom w:val="single" w:color="auto" w:sz="4" w:space="0"/>
              <w:right w:val="single" w:color="auto" w:sz="4" w:space="0"/>
            </w:tcBorders>
            <w:vAlign w:val="center"/>
          </w:tcPr>
          <w:p w14:paraId="7F4EE846">
            <w:pPr>
              <w:spacing w:line="360" w:lineRule="auto"/>
              <w:jc w:val="center"/>
              <w:rPr>
                <w:rFonts w:hint="eastAsia" w:ascii="宋体" w:hAnsi="宋体"/>
                <w:color w:val="auto"/>
                <w:sz w:val="21"/>
                <w:szCs w:val="21"/>
                <w:highlight w:val="none"/>
              </w:rPr>
            </w:pPr>
          </w:p>
        </w:tc>
        <w:tc>
          <w:tcPr>
            <w:tcW w:w="1134" w:type="dxa"/>
            <w:vMerge w:val="continue"/>
            <w:tcBorders>
              <w:top w:val="single" w:color="auto" w:sz="4" w:space="0"/>
              <w:left w:val="single" w:color="auto" w:sz="4" w:space="0"/>
              <w:right w:val="single" w:color="auto" w:sz="4" w:space="0"/>
            </w:tcBorders>
            <w:vAlign w:val="center"/>
          </w:tcPr>
          <w:p w14:paraId="1131AFC2">
            <w:pPr>
              <w:spacing w:line="360" w:lineRule="auto"/>
              <w:jc w:val="center"/>
              <w:rPr>
                <w:rFonts w:hint="eastAsia" w:ascii="宋体" w:hAnsi="宋体"/>
                <w:color w:val="auto"/>
                <w:sz w:val="21"/>
                <w:szCs w:val="21"/>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14:paraId="3A304F5D">
            <w:pPr>
              <w:autoSpaceDE w:val="0"/>
              <w:autoSpaceDN w:val="0"/>
              <w:adjustRightIn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项目负责人</w:t>
            </w:r>
          </w:p>
        </w:tc>
        <w:tc>
          <w:tcPr>
            <w:tcW w:w="5812" w:type="dxa"/>
            <w:tcBorders>
              <w:top w:val="single" w:color="auto" w:sz="4" w:space="0"/>
              <w:left w:val="single" w:color="auto" w:sz="4" w:space="0"/>
              <w:bottom w:val="single" w:color="auto" w:sz="4" w:space="0"/>
              <w:right w:val="single" w:color="auto" w:sz="4" w:space="0"/>
            </w:tcBorders>
            <w:vAlign w:val="center"/>
          </w:tcPr>
          <w:p w14:paraId="6A616ADD">
            <w:pPr>
              <w:widowControl w:val="0"/>
              <w:snapToGrid w:val="0"/>
              <w:spacing w:line="360" w:lineRule="auto"/>
              <w:jc w:val="both"/>
              <w:rPr>
                <w:rFonts w:hint="eastAsia" w:ascii="宋体" w:hAnsi="宋体"/>
                <w:color w:val="auto"/>
                <w:sz w:val="21"/>
                <w:szCs w:val="21"/>
                <w:highlight w:val="none"/>
              </w:rPr>
            </w:pPr>
            <w:r>
              <w:rPr>
                <w:color w:val="auto"/>
                <w:sz w:val="21"/>
                <w:szCs w:val="21"/>
                <w:highlight w:val="none"/>
              </w:rPr>
              <w:t>1、拟派项目负责人1人，须为执业律师，具有有效的律师执业证书；</w:t>
            </w:r>
            <w:r>
              <w:rPr>
                <w:color w:val="auto"/>
                <w:sz w:val="21"/>
                <w:szCs w:val="21"/>
                <w:highlight w:val="none"/>
              </w:rPr>
              <w:br w:type="textWrapping"/>
            </w:r>
            <w:r>
              <w:rPr>
                <w:color w:val="auto"/>
                <w:sz w:val="21"/>
                <w:szCs w:val="21"/>
                <w:highlight w:val="none"/>
              </w:rPr>
              <w:t>2、提供身份证及律师执业证书扫描件</w:t>
            </w:r>
          </w:p>
        </w:tc>
      </w:tr>
      <w:tr w14:paraId="1BE48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959" w:type="dxa"/>
            <w:vMerge w:val="continue"/>
            <w:tcBorders>
              <w:top w:val="single" w:color="auto" w:sz="4" w:space="0"/>
              <w:left w:val="single" w:color="auto" w:sz="4" w:space="0"/>
              <w:bottom w:val="single" w:color="auto" w:sz="4" w:space="0"/>
              <w:right w:val="single" w:color="auto" w:sz="4" w:space="0"/>
            </w:tcBorders>
            <w:vAlign w:val="center"/>
          </w:tcPr>
          <w:p w14:paraId="59917E69">
            <w:pPr>
              <w:spacing w:line="360" w:lineRule="auto"/>
              <w:jc w:val="center"/>
              <w:rPr>
                <w:rFonts w:hint="eastAsia" w:ascii="宋体" w:hAnsi="宋体"/>
                <w:color w:val="auto"/>
                <w:sz w:val="21"/>
                <w:szCs w:val="21"/>
                <w:highlight w:val="none"/>
              </w:rPr>
            </w:pPr>
          </w:p>
        </w:tc>
        <w:tc>
          <w:tcPr>
            <w:tcW w:w="1134" w:type="dxa"/>
            <w:vMerge w:val="continue"/>
            <w:tcBorders>
              <w:top w:val="single" w:color="auto" w:sz="4" w:space="0"/>
              <w:left w:val="single" w:color="auto" w:sz="4" w:space="0"/>
              <w:right w:val="single" w:color="auto" w:sz="4" w:space="0"/>
            </w:tcBorders>
            <w:vAlign w:val="center"/>
          </w:tcPr>
          <w:p w14:paraId="3DAB6AAC">
            <w:pPr>
              <w:spacing w:line="360" w:lineRule="auto"/>
              <w:jc w:val="center"/>
              <w:rPr>
                <w:rFonts w:hint="eastAsia" w:ascii="宋体" w:hAnsi="宋体"/>
                <w:color w:val="auto"/>
                <w:sz w:val="21"/>
                <w:szCs w:val="21"/>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14:paraId="74280ADE">
            <w:pPr>
              <w:autoSpaceDE w:val="0"/>
              <w:autoSpaceDN w:val="0"/>
              <w:adjustRightIn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有依法缴纳税收和社会保障资金的良好记录</w:t>
            </w:r>
          </w:p>
        </w:tc>
        <w:tc>
          <w:tcPr>
            <w:tcW w:w="5812" w:type="dxa"/>
            <w:tcBorders>
              <w:top w:val="single" w:color="auto" w:sz="4" w:space="0"/>
              <w:left w:val="single" w:color="auto" w:sz="4" w:space="0"/>
              <w:bottom w:val="single" w:color="auto" w:sz="4" w:space="0"/>
              <w:right w:val="single" w:color="auto" w:sz="4" w:space="0"/>
            </w:tcBorders>
            <w:vAlign w:val="center"/>
          </w:tcPr>
          <w:p w14:paraId="3F35E44E">
            <w:pPr>
              <w:widowControl w:val="0"/>
              <w:snapToGrid w:val="0"/>
              <w:spacing w:line="432" w:lineRule="auto"/>
              <w:jc w:val="both"/>
              <w:rPr>
                <w:rFonts w:hint="eastAsia" w:ascii="宋体" w:hAnsi="宋体"/>
                <w:color w:val="auto"/>
                <w:sz w:val="21"/>
                <w:szCs w:val="21"/>
                <w:highlight w:val="none"/>
              </w:rPr>
            </w:pPr>
            <w:r>
              <w:rPr>
                <w:rFonts w:hint="eastAsia" w:ascii="宋体" w:hAnsi="宋体"/>
                <w:color w:val="auto"/>
                <w:sz w:val="21"/>
                <w:szCs w:val="21"/>
                <w:highlight w:val="none"/>
              </w:rPr>
              <w:t>1、有依法缴纳税收和社会保障资金的良好记录，提供2025年1月份至今任意1个月的缴纳税收及社会保障资金的相关证明或承诺函。</w:t>
            </w:r>
          </w:p>
          <w:p w14:paraId="11844F58">
            <w:pPr>
              <w:widowControl w:val="0"/>
              <w:snapToGrid w:val="0"/>
              <w:spacing w:line="360" w:lineRule="auto"/>
              <w:jc w:val="both"/>
              <w:rPr>
                <w:rFonts w:hint="eastAsia" w:ascii="宋体" w:hAnsi="宋体"/>
                <w:color w:val="auto"/>
                <w:sz w:val="21"/>
                <w:szCs w:val="21"/>
                <w:highlight w:val="none"/>
              </w:rPr>
            </w:pPr>
            <w:r>
              <w:rPr>
                <w:rFonts w:hint="eastAsia" w:ascii="宋体" w:hAnsi="宋体"/>
                <w:color w:val="auto"/>
                <w:sz w:val="21"/>
                <w:szCs w:val="21"/>
                <w:highlight w:val="none"/>
              </w:rPr>
              <w:t>2、提供相关证明或承诺函。</w:t>
            </w:r>
          </w:p>
        </w:tc>
      </w:tr>
      <w:tr w14:paraId="603C0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959" w:type="dxa"/>
            <w:vMerge w:val="continue"/>
            <w:tcBorders>
              <w:top w:val="single" w:color="auto" w:sz="4" w:space="0"/>
              <w:left w:val="single" w:color="auto" w:sz="4" w:space="0"/>
              <w:bottom w:val="single" w:color="auto" w:sz="4" w:space="0"/>
              <w:right w:val="single" w:color="auto" w:sz="4" w:space="0"/>
            </w:tcBorders>
            <w:vAlign w:val="center"/>
          </w:tcPr>
          <w:p w14:paraId="2A66D0DB">
            <w:pPr>
              <w:spacing w:line="360" w:lineRule="auto"/>
              <w:jc w:val="center"/>
              <w:rPr>
                <w:rFonts w:hint="eastAsia" w:ascii="宋体" w:hAnsi="宋体"/>
                <w:color w:val="auto"/>
                <w:sz w:val="21"/>
                <w:szCs w:val="21"/>
                <w:highlight w:val="none"/>
              </w:rPr>
            </w:pPr>
          </w:p>
        </w:tc>
        <w:tc>
          <w:tcPr>
            <w:tcW w:w="1134" w:type="dxa"/>
            <w:vMerge w:val="continue"/>
            <w:tcBorders>
              <w:top w:val="single" w:color="auto" w:sz="4" w:space="0"/>
              <w:left w:val="single" w:color="auto" w:sz="4" w:space="0"/>
              <w:right w:val="single" w:color="auto" w:sz="4" w:space="0"/>
            </w:tcBorders>
            <w:vAlign w:val="center"/>
          </w:tcPr>
          <w:p w14:paraId="45673255">
            <w:pPr>
              <w:spacing w:line="360" w:lineRule="auto"/>
              <w:jc w:val="center"/>
              <w:rPr>
                <w:rFonts w:hint="eastAsia" w:ascii="宋体" w:hAnsi="宋体"/>
                <w:color w:val="auto"/>
                <w:sz w:val="21"/>
                <w:szCs w:val="21"/>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14:paraId="2302B961">
            <w:pPr>
              <w:autoSpaceDE w:val="0"/>
              <w:autoSpaceDN w:val="0"/>
              <w:adjustRightIn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信誉要求</w:t>
            </w:r>
          </w:p>
        </w:tc>
        <w:tc>
          <w:tcPr>
            <w:tcW w:w="5812" w:type="dxa"/>
            <w:tcBorders>
              <w:top w:val="single" w:color="auto" w:sz="4" w:space="0"/>
              <w:left w:val="single" w:color="auto" w:sz="4" w:space="0"/>
              <w:bottom w:val="single" w:color="auto" w:sz="4" w:space="0"/>
              <w:right w:val="single" w:color="auto" w:sz="4" w:space="0"/>
            </w:tcBorders>
            <w:vAlign w:val="center"/>
          </w:tcPr>
          <w:p w14:paraId="3A8E7131">
            <w:pPr>
              <w:widowControl w:val="0"/>
              <w:snapToGrid w:val="0"/>
              <w:spacing w:line="360" w:lineRule="auto"/>
              <w:jc w:val="both"/>
              <w:rPr>
                <w:rFonts w:hint="eastAsia" w:ascii="宋体" w:hAnsi="宋体"/>
                <w:color w:val="auto"/>
                <w:sz w:val="21"/>
                <w:szCs w:val="21"/>
                <w:highlight w:val="none"/>
              </w:rPr>
            </w:pPr>
            <w:r>
              <w:rPr>
                <w:rFonts w:hint="eastAsia" w:ascii="宋体" w:hAnsi="宋体"/>
                <w:color w:val="auto"/>
                <w:sz w:val="21"/>
                <w:szCs w:val="21"/>
                <w:highlight w:val="none"/>
              </w:rPr>
              <w:t>1、信誉要求：未处于被责令停业、投标资格被暂停或取消、财产被接管、冻结、破产等状态；近三年（2023年1月至今）无骗取中标和严重违约、无被项目所在地政府或国家部委禁止市场准入等情形，当前未因不良记录被建设行政主管部门禁止投标资格；供应商在“信用中国”网站(www.creditchina.gov.cn)无 “失信被执行人”的记录。供应商存在以上不良信用记录的，否决其磋商资格；</w:t>
            </w:r>
          </w:p>
          <w:p w14:paraId="05992C10">
            <w:pPr>
              <w:widowControl w:val="0"/>
              <w:snapToGrid w:val="0"/>
              <w:spacing w:line="360" w:lineRule="auto"/>
              <w:jc w:val="both"/>
              <w:rPr>
                <w:rFonts w:hint="eastAsia" w:ascii="宋体" w:hAnsi="宋体"/>
                <w:color w:val="auto"/>
                <w:sz w:val="21"/>
                <w:szCs w:val="21"/>
                <w:highlight w:val="none"/>
              </w:rPr>
            </w:pPr>
            <w:r>
              <w:rPr>
                <w:rFonts w:hint="eastAsia" w:ascii="宋体" w:hAnsi="宋体"/>
                <w:color w:val="auto"/>
                <w:sz w:val="21"/>
                <w:szCs w:val="21"/>
                <w:highlight w:val="none"/>
              </w:rPr>
              <w:t>2、投标人自行承诺并附相关的网页截图（具体以代理机构查询为准）。</w:t>
            </w:r>
          </w:p>
        </w:tc>
      </w:tr>
      <w:tr w14:paraId="39C94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959" w:type="dxa"/>
            <w:vMerge w:val="continue"/>
            <w:tcBorders>
              <w:top w:val="single" w:color="auto" w:sz="4" w:space="0"/>
              <w:left w:val="single" w:color="auto" w:sz="4" w:space="0"/>
              <w:bottom w:val="single" w:color="auto" w:sz="4" w:space="0"/>
              <w:right w:val="single" w:color="auto" w:sz="4" w:space="0"/>
            </w:tcBorders>
            <w:vAlign w:val="center"/>
          </w:tcPr>
          <w:p w14:paraId="7A8B3AC0">
            <w:pPr>
              <w:spacing w:line="360" w:lineRule="auto"/>
              <w:rPr>
                <w:rFonts w:hint="eastAsia" w:ascii="宋体" w:hAnsi="宋体"/>
                <w:color w:val="auto"/>
                <w:sz w:val="21"/>
                <w:szCs w:val="21"/>
                <w:highlight w:val="none"/>
              </w:rPr>
            </w:pPr>
          </w:p>
        </w:tc>
        <w:tc>
          <w:tcPr>
            <w:tcW w:w="1134" w:type="dxa"/>
            <w:vMerge w:val="continue"/>
            <w:tcBorders>
              <w:left w:val="single" w:color="auto" w:sz="4" w:space="0"/>
              <w:right w:val="single" w:color="auto" w:sz="4" w:space="0"/>
            </w:tcBorders>
            <w:vAlign w:val="center"/>
          </w:tcPr>
          <w:p w14:paraId="4A59E284">
            <w:pPr>
              <w:spacing w:line="360" w:lineRule="auto"/>
              <w:rPr>
                <w:rFonts w:hint="eastAsia" w:ascii="宋体" w:hAnsi="宋体"/>
                <w:color w:val="auto"/>
                <w:sz w:val="21"/>
                <w:szCs w:val="21"/>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14:paraId="7553CB13">
            <w:pPr>
              <w:spacing w:line="360" w:lineRule="auto"/>
              <w:rPr>
                <w:rFonts w:hint="eastAsia" w:ascii="宋体" w:hAnsi="宋体"/>
                <w:color w:val="auto"/>
                <w:sz w:val="21"/>
                <w:szCs w:val="21"/>
                <w:highlight w:val="none"/>
              </w:rPr>
            </w:pPr>
            <w:r>
              <w:rPr>
                <w:rFonts w:hint="eastAsia" w:ascii="宋体" w:hAnsi="宋体"/>
                <w:color w:val="auto"/>
                <w:sz w:val="21"/>
                <w:szCs w:val="21"/>
                <w:highlight w:val="none"/>
              </w:rPr>
              <w:t>法定代表人身份证明书</w:t>
            </w:r>
          </w:p>
        </w:tc>
        <w:tc>
          <w:tcPr>
            <w:tcW w:w="5812" w:type="dxa"/>
            <w:tcBorders>
              <w:top w:val="single" w:color="auto" w:sz="4" w:space="0"/>
              <w:left w:val="single" w:color="auto" w:sz="4" w:space="0"/>
              <w:bottom w:val="single" w:color="auto" w:sz="4" w:space="0"/>
              <w:right w:val="single" w:color="auto" w:sz="4" w:space="0"/>
            </w:tcBorders>
            <w:vAlign w:val="center"/>
          </w:tcPr>
          <w:p w14:paraId="2AA29209">
            <w:pPr>
              <w:widowControl w:val="0"/>
              <w:adjustRightInd w:val="0"/>
              <w:snapToGrid w:val="0"/>
              <w:spacing w:line="360" w:lineRule="auto"/>
              <w:jc w:val="both"/>
              <w:rPr>
                <w:rFonts w:hint="eastAsia" w:ascii="宋体" w:hAnsi="宋体"/>
                <w:color w:val="auto"/>
                <w:sz w:val="21"/>
                <w:szCs w:val="21"/>
                <w:highlight w:val="none"/>
              </w:rPr>
            </w:pPr>
            <w:r>
              <w:rPr>
                <w:rFonts w:hint="eastAsia" w:ascii="宋体" w:hAnsi="宋体"/>
                <w:color w:val="auto"/>
                <w:sz w:val="21"/>
                <w:szCs w:val="21"/>
                <w:highlight w:val="none"/>
              </w:rPr>
              <w:t>按文件“第六章 竞争性磋商响应文件格式”要求提供。</w:t>
            </w:r>
          </w:p>
        </w:tc>
      </w:tr>
      <w:tr w14:paraId="08D2F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959" w:type="dxa"/>
            <w:vMerge w:val="continue"/>
            <w:tcBorders>
              <w:top w:val="single" w:color="auto" w:sz="4" w:space="0"/>
              <w:left w:val="single" w:color="auto" w:sz="4" w:space="0"/>
              <w:bottom w:val="single" w:color="auto" w:sz="4" w:space="0"/>
              <w:right w:val="single" w:color="auto" w:sz="4" w:space="0"/>
            </w:tcBorders>
            <w:vAlign w:val="center"/>
          </w:tcPr>
          <w:p w14:paraId="78AD27AB">
            <w:pPr>
              <w:spacing w:line="360" w:lineRule="auto"/>
              <w:rPr>
                <w:rFonts w:hint="eastAsia" w:ascii="宋体" w:hAnsi="宋体"/>
                <w:color w:val="auto"/>
                <w:sz w:val="21"/>
                <w:szCs w:val="21"/>
                <w:highlight w:val="none"/>
              </w:rPr>
            </w:pPr>
          </w:p>
        </w:tc>
        <w:tc>
          <w:tcPr>
            <w:tcW w:w="1134" w:type="dxa"/>
            <w:vMerge w:val="continue"/>
            <w:tcBorders>
              <w:left w:val="single" w:color="auto" w:sz="4" w:space="0"/>
              <w:right w:val="single" w:color="auto" w:sz="4" w:space="0"/>
            </w:tcBorders>
            <w:vAlign w:val="center"/>
          </w:tcPr>
          <w:p w14:paraId="25D7BF7D">
            <w:pPr>
              <w:spacing w:line="360" w:lineRule="auto"/>
              <w:rPr>
                <w:rFonts w:hint="eastAsia" w:ascii="宋体" w:hAnsi="宋体"/>
                <w:color w:val="auto"/>
                <w:sz w:val="21"/>
                <w:szCs w:val="21"/>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14:paraId="60D9D555">
            <w:pPr>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若法定代表人不能到开标现场，需提供授权委托书</w:t>
            </w:r>
          </w:p>
        </w:tc>
        <w:tc>
          <w:tcPr>
            <w:tcW w:w="5812" w:type="dxa"/>
            <w:tcBorders>
              <w:top w:val="single" w:color="auto" w:sz="4" w:space="0"/>
              <w:left w:val="single" w:color="auto" w:sz="4" w:space="0"/>
              <w:bottom w:val="single" w:color="auto" w:sz="4" w:space="0"/>
              <w:right w:val="single" w:color="auto" w:sz="4" w:space="0"/>
            </w:tcBorders>
            <w:vAlign w:val="center"/>
          </w:tcPr>
          <w:p w14:paraId="1FD9FD31">
            <w:pPr>
              <w:widowControl w:val="0"/>
              <w:adjustRightInd w:val="0"/>
              <w:snapToGrid w:val="0"/>
              <w:spacing w:line="360" w:lineRule="auto"/>
              <w:jc w:val="both"/>
              <w:rPr>
                <w:rFonts w:hint="eastAsia" w:ascii="宋体" w:hAnsi="宋体"/>
                <w:color w:val="auto"/>
                <w:sz w:val="21"/>
                <w:szCs w:val="21"/>
                <w:highlight w:val="none"/>
              </w:rPr>
            </w:pPr>
            <w:r>
              <w:rPr>
                <w:rFonts w:hint="eastAsia" w:ascii="宋体" w:hAnsi="宋体"/>
                <w:color w:val="auto"/>
                <w:sz w:val="21"/>
                <w:szCs w:val="21"/>
                <w:highlight w:val="none"/>
              </w:rPr>
              <w:t>按文件“第六章 竞争性磋商响应文件格式”要求提供。</w:t>
            </w:r>
          </w:p>
        </w:tc>
      </w:tr>
      <w:tr w14:paraId="4CE48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1" w:hRule="atLeast"/>
        </w:trPr>
        <w:tc>
          <w:tcPr>
            <w:tcW w:w="959" w:type="dxa"/>
            <w:vMerge w:val="continue"/>
            <w:tcBorders>
              <w:top w:val="single" w:color="auto" w:sz="4" w:space="0"/>
              <w:left w:val="single" w:color="auto" w:sz="4" w:space="0"/>
              <w:bottom w:val="single" w:color="auto" w:sz="4" w:space="0"/>
              <w:right w:val="single" w:color="auto" w:sz="4" w:space="0"/>
            </w:tcBorders>
            <w:vAlign w:val="center"/>
          </w:tcPr>
          <w:p w14:paraId="2037165D">
            <w:pPr>
              <w:spacing w:line="360" w:lineRule="auto"/>
              <w:rPr>
                <w:rFonts w:hint="eastAsia" w:ascii="宋体" w:hAnsi="宋体"/>
                <w:color w:val="auto"/>
                <w:sz w:val="21"/>
                <w:szCs w:val="21"/>
                <w:highlight w:val="none"/>
              </w:rPr>
            </w:pPr>
          </w:p>
        </w:tc>
        <w:tc>
          <w:tcPr>
            <w:tcW w:w="1134" w:type="dxa"/>
            <w:vMerge w:val="continue"/>
            <w:tcBorders>
              <w:left w:val="single" w:color="auto" w:sz="4" w:space="0"/>
              <w:right w:val="single" w:color="auto" w:sz="4" w:space="0"/>
            </w:tcBorders>
            <w:vAlign w:val="center"/>
          </w:tcPr>
          <w:p w14:paraId="7C61B0FE">
            <w:pPr>
              <w:spacing w:line="360" w:lineRule="auto"/>
              <w:rPr>
                <w:rFonts w:hint="eastAsia" w:ascii="宋体" w:hAnsi="宋体"/>
                <w:color w:val="auto"/>
                <w:sz w:val="21"/>
                <w:szCs w:val="21"/>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14:paraId="4ACFFDDA">
            <w:pPr>
              <w:spacing w:line="360" w:lineRule="auto"/>
              <w:rPr>
                <w:rFonts w:hint="eastAsia" w:ascii="宋体" w:hAnsi="宋体"/>
                <w:color w:val="auto"/>
                <w:sz w:val="21"/>
                <w:szCs w:val="21"/>
                <w:highlight w:val="none"/>
              </w:rPr>
            </w:pPr>
            <w:r>
              <w:rPr>
                <w:rFonts w:hint="eastAsia" w:ascii="宋体" w:hAnsi="宋体"/>
                <w:color w:val="auto"/>
                <w:sz w:val="21"/>
                <w:szCs w:val="21"/>
                <w:highlight w:val="none"/>
              </w:rPr>
              <w:t>法定代表人或授权代理人居民身份证</w:t>
            </w:r>
          </w:p>
        </w:tc>
        <w:tc>
          <w:tcPr>
            <w:tcW w:w="5812" w:type="dxa"/>
            <w:tcBorders>
              <w:top w:val="single" w:color="auto" w:sz="4" w:space="0"/>
              <w:left w:val="single" w:color="auto" w:sz="4" w:space="0"/>
              <w:bottom w:val="single" w:color="auto" w:sz="4" w:space="0"/>
              <w:right w:val="single" w:color="auto" w:sz="4" w:space="0"/>
            </w:tcBorders>
            <w:vAlign w:val="center"/>
          </w:tcPr>
          <w:p w14:paraId="284A7E85">
            <w:pPr>
              <w:widowControl w:val="0"/>
              <w:adjustRightInd w:val="0"/>
              <w:snapToGrid w:val="0"/>
              <w:spacing w:line="360" w:lineRule="auto"/>
              <w:jc w:val="both"/>
              <w:rPr>
                <w:rFonts w:hint="eastAsia" w:ascii="宋体" w:hAnsi="宋体"/>
                <w:color w:val="auto"/>
                <w:sz w:val="21"/>
                <w:szCs w:val="21"/>
                <w:highlight w:val="none"/>
              </w:rPr>
            </w:pPr>
            <w:r>
              <w:rPr>
                <w:rFonts w:hint="eastAsia" w:ascii="宋体" w:hAnsi="宋体"/>
                <w:color w:val="auto"/>
                <w:sz w:val="21"/>
                <w:szCs w:val="21"/>
                <w:highlight w:val="none"/>
              </w:rPr>
              <w:t>具有有效证件</w:t>
            </w:r>
          </w:p>
        </w:tc>
      </w:tr>
      <w:tr w14:paraId="31013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959" w:type="dxa"/>
            <w:vMerge w:val="continue"/>
            <w:tcBorders>
              <w:top w:val="single" w:color="auto" w:sz="4" w:space="0"/>
              <w:left w:val="single" w:color="auto" w:sz="4" w:space="0"/>
              <w:bottom w:val="single" w:color="auto" w:sz="4" w:space="0"/>
              <w:right w:val="single" w:color="auto" w:sz="4" w:space="0"/>
            </w:tcBorders>
            <w:vAlign w:val="center"/>
          </w:tcPr>
          <w:p w14:paraId="75BB96E2">
            <w:pPr>
              <w:spacing w:line="360" w:lineRule="auto"/>
              <w:rPr>
                <w:rFonts w:hint="eastAsia" w:ascii="宋体" w:hAnsi="宋体"/>
                <w:color w:val="auto"/>
                <w:sz w:val="21"/>
                <w:szCs w:val="21"/>
                <w:highlight w:val="none"/>
              </w:rPr>
            </w:pPr>
          </w:p>
        </w:tc>
        <w:tc>
          <w:tcPr>
            <w:tcW w:w="1134" w:type="dxa"/>
            <w:vMerge w:val="continue"/>
            <w:tcBorders>
              <w:left w:val="single" w:color="auto" w:sz="4" w:space="0"/>
              <w:right w:val="single" w:color="auto" w:sz="4" w:space="0"/>
            </w:tcBorders>
            <w:vAlign w:val="center"/>
          </w:tcPr>
          <w:p w14:paraId="38985663">
            <w:pPr>
              <w:spacing w:line="360" w:lineRule="auto"/>
              <w:rPr>
                <w:rFonts w:hint="eastAsia" w:ascii="宋体" w:hAnsi="宋体"/>
                <w:color w:val="auto"/>
                <w:sz w:val="21"/>
                <w:szCs w:val="21"/>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14:paraId="4736D839">
            <w:pPr>
              <w:spacing w:line="360" w:lineRule="auto"/>
              <w:rPr>
                <w:rFonts w:hint="eastAsia" w:ascii="宋体" w:hAnsi="宋体"/>
                <w:color w:val="auto"/>
                <w:sz w:val="21"/>
                <w:szCs w:val="21"/>
                <w:highlight w:val="none"/>
              </w:rPr>
            </w:pPr>
            <w:r>
              <w:rPr>
                <w:rFonts w:hint="eastAsia" w:ascii="宋体" w:hAnsi="宋体"/>
                <w:color w:val="auto"/>
                <w:sz w:val="21"/>
                <w:szCs w:val="21"/>
                <w:highlight w:val="none"/>
              </w:rPr>
              <w:t>廉政承诺</w:t>
            </w:r>
          </w:p>
        </w:tc>
        <w:tc>
          <w:tcPr>
            <w:tcW w:w="5812" w:type="dxa"/>
            <w:tcBorders>
              <w:top w:val="single" w:color="auto" w:sz="4" w:space="0"/>
              <w:left w:val="single" w:color="auto" w:sz="4" w:space="0"/>
              <w:bottom w:val="single" w:color="auto" w:sz="4" w:space="0"/>
              <w:right w:val="single" w:color="auto" w:sz="4" w:space="0"/>
            </w:tcBorders>
            <w:vAlign w:val="center"/>
          </w:tcPr>
          <w:p w14:paraId="1E11EEC2">
            <w:pPr>
              <w:spacing w:line="360" w:lineRule="auto"/>
              <w:rPr>
                <w:rFonts w:hint="eastAsia" w:ascii="宋体" w:hAnsi="宋体"/>
                <w:color w:val="auto"/>
                <w:sz w:val="21"/>
                <w:szCs w:val="21"/>
                <w:highlight w:val="none"/>
              </w:rPr>
            </w:pPr>
            <w:r>
              <w:rPr>
                <w:rFonts w:hint="eastAsia" w:ascii="宋体" w:hAnsi="宋体"/>
                <w:color w:val="auto"/>
                <w:sz w:val="21"/>
                <w:szCs w:val="21"/>
                <w:highlight w:val="none"/>
              </w:rPr>
              <w:t>按文件“第六章 竞争性磋商响应文件格式”要求提供。</w:t>
            </w:r>
          </w:p>
        </w:tc>
      </w:tr>
      <w:tr w14:paraId="1831B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959" w:type="dxa"/>
            <w:vMerge w:val="restart"/>
            <w:tcBorders>
              <w:top w:val="single" w:color="auto" w:sz="4" w:space="0"/>
              <w:left w:val="single" w:color="auto" w:sz="4" w:space="0"/>
              <w:right w:val="single" w:color="auto" w:sz="4" w:space="0"/>
            </w:tcBorders>
            <w:vAlign w:val="center"/>
          </w:tcPr>
          <w:p w14:paraId="16F8963B">
            <w:pPr>
              <w:spacing w:line="360" w:lineRule="auto"/>
              <w:rPr>
                <w:rFonts w:hint="eastAsia" w:ascii="宋体" w:hAnsi="宋体"/>
                <w:color w:val="auto"/>
                <w:sz w:val="21"/>
                <w:szCs w:val="21"/>
                <w:highlight w:val="none"/>
              </w:rPr>
            </w:pPr>
            <w:r>
              <w:rPr>
                <w:rFonts w:hint="eastAsia" w:ascii="宋体" w:hAnsi="宋体"/>
                <w:color w:val="auto"/>
                <w:sz w:val="21"/>
                <w:szCs w:val="21"/>
                <w:highlight w:val="none"/>
              </w:rPr>
              <w:t>2.1.2</w:t>
            </w:r>
          </w:p>
        </w:tc>
        <w:tc>
          <w:tcPr>
            <w:tcW w:w="1134" w:type="dxa"/>
            <w:vMerge w:val="restart"/>
            <w:tcBorders>
              <w:left w:val="single" w:color="auto" w:sz="4" w:space="0"/>
              <w:right w:val="single" w:color="auto" w:sz="4" w:space="0"/>
            </w:tcBorders>
            <w:vAlign w:val="center"/>
          </w:tcPr>
          <w:p w14:paraId="59A80B9B">
            <w:pPr>
              <w:spacing w:line="360" w:lineRule="auto"/>
              <w:rPr>
                <w:rFonts w:hint="eastAsia" w:ascii="宋体" w:hAnsi="宋体"/>
                <w:color w:val="auto"/>
                <w:sz w:val="21"/>
                <w:szCs w:val="21"/>
                <w:highlight w:val="none"/>
              </w:rPr>
            </w:pPr>
            <w:r>
              <w:rPr>
                <w:rFonts w:hint="eastAsia" w:ascii="宋体" w:hAnsi="宋体"/>
                <w:color w:val="auto"/>
                <w:sz w:val="21"/>
                <w:szCs w:val="21"/>
                <w:highlight w:val="none"/>
              </w:rPr>
              <w:t>符合性评审标准</w:t>
            </w:r>
          </w:p>
        </w:tc>
        <w:tc>
          <w:tcPr>
            <w:tcW w:w="1701" w:type="dxa"/>
            <w:tcBorders>
              <w:top w:val="single" w:color="auto" w:sz="4" w:space="0"/>
              <w:left w:val="single" w:color="auto" w:sz="4" w:space="0"/>
              <w:bottom w:val="single" w:color="auto" w:sz="4" w:space="0"/>
              <w:right w:val="single" w:color="auto" w:sz="4" w:space="0"/>
            </w:tcBorders>
            <w:vAlign w:val="center"/>
          </w:tcPr>
          <w:p w14:paraId="1ED21FAA">
            <w:pPr>
              <w:autoSpaceDE w:val="0"/>
              <w:autoSpaceDN w:val="0"/>
              <w:adjustRightInd w:val="0"/>
              <w:spacing w:line="360" w:lineRule="auto"/>
              <w:rPr>
                <w:rFonts w:hint="eastAsia" w:ascii="宋体" w:hAnsi="宋体"/>
                <w:color w:val="auto"/>
                <w:sz w:val="21"/>
                <w:szCs w:val="21"/>
                <w:highlight w:val="none"/>
              </w:rPr>
            </w:pPr>
            <w:r>
              <w:rPr>
                <w:rFonts w:ascii="宋体" w:hAnsi="宋体"/>
                <w:color w:val="auto"/>
                <w:sz w:val="21"/>
                <w:szCs w:val="21"/>
                <w:highlight w:val="none"/>
              </w:rPr>
              <w:t>供应商名称</w:t>
            </w:r>
          </w:p>
        </w:tc>
        <w:tc>
          <w:tcPr>
            <w:tcW w:w="5812" w:type="dxa"/>
            <w:tcBorders>
              <w:top w:val="single" w:color="auto" w:sz="4" w:space="0"/>
              <w:left w:val="single" w:color="auto" w:sz="4" w:space="0"/>
              <w:bottom w:val="single" w:color="auto" w:sz="4" w:space="0"/>
              <w:right w:val="single" w:color="auto" w:sz="4" w:space="0"/>
            </w:tcBorders>
            <w:vAlign w:val="center"/>
          </w:tcPr>
          <w:p w14:paraId="7E1574E0">
            <w:pPr>
              <w:autoSpaceDE w:val="0"/>
              <w:autoSpaceDN w:val="0"/>
              <w:adjustRightIn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供应商名称与营业执照一致</w:t>
            </w:r>
          </w:p>
        </w:tc>
      </w:tr>
      <w:tr w14:paraId="554E4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959" w:type="dxa"/>
            <w:vMerge w:val="continue"/>
            <w:tcBorders>
              <w:top w:val="single" w:color="auto" w:sz="4" w:space="0"/>
              <w:left w:val="single" w:color="auto" w:sz="4" w:space="0"/>
              <w:right w:val="single" w:color="auto" w:sz="4" w:space="0"/>
            </w:tcBorders>
            <w:vAlign w:val="center"/>
          </w:tcPr>
          <w:p w14:paraId="46579D34">
            <w:pPr>
              <w:spacing w:line="360" w:lineRule="auto"/>
              <w:rPr>
                <w:rFonts w:hint="eastAsia" w:ascii="宋体" w:hAnsi="宋体"/>
                <w:color w:val="auto"/>
                <w:sz w:val="21"/>
                <w:szCs w:val="21"/>
                <w:highlight w:val="none"/>
              </w:rPr>
            </w:pPr>
          </w:p>
        </w:tc>
        <w:tc>
          <w:tcPr>
            <w:tcW w:w="1134" w:type="dxa"/>
            <w:vMerge w:val="continue"/>
            <w:tcBorders>
              <w:left w:val="single" w:color="auto" w:sz="4" w:space="0"/>
              <w:right w:val="single" w:color="auto" w:sz="4" w:space="0"/>
            </w:tcBorders>
            <w:vAlign w:val="center"/>
          </w:tcPr>
          <w:p w14:paraId="2A36B958">
            <w:pPr>
              <w:spacing w:line="360" w:lineRule="auto"/>
              <w:rPr>
                <w:rFonts w:hint="eastAsia" w:ascii="宋体" w:hAnsi="宋体"/>
                <w:color w:val="auto"/>
                <w:sz w:val="21"/>
                <w:szCs w:val="21"/>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14:paraId="10713C90">
            <w:pPr>
              <w:autoSpaceDE w:val="0"/>
              <w:autoSpaceDN w:val="0"/>
              <w:adjustRightInd w:val="0"/>
              <w:spacing w:line="360" w:lineRule="auto"/>
              <w:rPr>
                <w:rFonts w:hint="eastAsia" w:ascii="宋体" w:hAnsi="宋体"/>
                <w:color w:val="auto"/>
                <w:sz w:val="21"/>
                <w:szCs w:val="21"/>
                <w:highlight w:val="none"/>
              </w:rPr>
            </w:pPr>
            <w:r>
              <w:rPr>
                <w:rFonts w:ascii="宋体" w:hAnsi="宋体"/>
                <w:color w:val="auto"/>
                <w:sz w:val="21"/>
                <w:szCs w:val="21"/>
                <w:highlight w:val="none"/>
              </w:rPr>
              <w:t>签字盖章</w:t>
            </w:r>
          </w:p>
        </w:tc>
        <w:tc>
          <w:tcPr>
            <w:tcW w:w="5812" w:type="dxa"/>
            <w:tcBorders>
              <w:top w:val="single" w:color="auto" w:sz="4" w:space="0"/>
              <w:left w:val="single" w:color="auto" w:sz="4" w:space="0"/>
              <w:bottom w:val="single" w:color="auto" w:sz="4" w:space="0"/>
              <w:right w:val="single" w:color="auto" w:sz="4" w:space="0"/>
            </w:tcBorders>
            <w:vAlign w:val="center"/>
          </w:tcPr>
          <w:p w14:paraId="632D20C0">
            <w:pPr>
              <w:autoSpaceDE w:val="0"/>
              <w:autoSpaceDN w:val="0"/>
              <w:adjustRightIn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按竞争性磋商文件要求进行</w:t>
            </w:r>
            <w:r>
              <w:rPr>
                <w:rFonts w:ascii="宋体" w:hAnsi="宋体"/>
                <w:color w:val="auto"/>
                <w:sz w:val="21"/>
                <w:szCs w:val="21"/>
                <w:highlight w:val="none"/>
              </w:rPr>
              <w:t>法定代表人或其委托代理人签字或盖章</w:t>
            </w:r>
            <w:r>
              <w:rPr>
                <w:rFonts w:hint="eastAsia" w:ascii="宋体" w:hAnsi="宋体"/>
                <w:color w:val="auto"/>
                <w:sz w:val="21"/>
                <w:szCs w:val="21"/>
                <w:highlight w:val="none"/>
              </w:rPr>
              <w:t>或电子签章。</w:t>
            </w:r>
          </w:p>
        </w:tc>
      </w:tr>
      <w:tr w14:paraId="6845F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959" w:type="dxa"/>
            <w:vMerge w:val="continue"/>
            <w:tcBorders>
              <w:top w:val="single" w:color="auto" w:sz="4" w:space="0"/>
              <w:left w:val="single" w:color="auto" w:sz="4" w:space="0"/>
              <w:right w:val="single" w:color="auto" w:sz="4" w:space="0"/>
            </w:tcBorders>
            <w:vAlign w:val="center"/>
          </w:tcPr>
          <w:p w14:paraId="3720C790">
            <w:pPr>
              <w:spacing w:line="360" w:lineRule="auto"/>
              <w:rPr>
                <w:rFonts w:hint="eastAsia" w:ascii="宋体" w:hAnsi="宋体"/>
                <w:color w:val="auto"/>
                <w:sz w:val="21"/>
                <w:szCs w:val="21"/>
                <w:highlight w:val="none"/>
              </w:rPr>
            </w:pPr>
          </w:p>
        </w:tc>
        <w:tc>
          <w:tcPr>
            <w:tcW w:w="1134" w:type="dxa"/>
            <w:vMerge w:val="continue"/>
            <w:tcBorders>
              <w:left w:val="single" w:color="auto" w:sz="4" w:space="0"/>
              <w:right w:val="single" w:color="auto" w:sz="4" w:space="0"/>
            </w:tcBorders>
            <w:vAlign w:val="center"/>
          </w:tcPr>
          <w:p w14:paraId="7F94A19F">
            <w:pPr>
              <w:spacing w:line="360" w:lineRule="auto"/>
              <w:rPr>
                <w:rFonts w:hint="eastAsia" w:ascii="宋体" w:hAnsi="宋体"/>
                <w:color w:val="auto"/>
                <w:sz w:val="21"/>
                <w:szCs w:val="21"/>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14:paraId="04094774">
            <w:pPr>
              <w:autoSpaceDE w:val="0"/>
              <w:autoSpaceDN w:val="0"/>
              <w:adjustRightInd w:val="0"/>
              <w:spacing w:line="360" w:lineRule="auto"/>
              <w:rPr>
                <w:rFonts w:hint="eastAsia" w:ascii="宋体" w:hAnsi="宋体"/>
                <w:color w:val="auto"/>
                <w:sz w:val="21"/>
                <w:szCs w:val="21"/>
                <w:highlight w:val="none"/>
              </w:rPr>
            </w:pPr>
            <w:r>
              <w:rPr>
                <w:rFonts w:ascii="宋体" w:hAnsi="宋体"/>
                <w:color w:val="auto"/>
                <w:sz w:val="21"/>
                <w:szCs w:val="21"/>
                <w:highlight w:val="none"/>
              </w:rPr>
              <w:t>响应文件格式</w:t>
            </w:r>
          </w:p>
        </w:tc>
        <w:tc>
          <w:tcPr>
            <w:tcW w:w="5812" w:type="dxa"/>
            <w:tcBorders>
              <w:top w:val="single" w:color="auto" w:sz="4" w:space="0"/>
              <w:left w:val="single" w:color="auto" w:sz="4" w:space="0"/>
              <w:bottom w:val="single" w:color="auto" w:sz="4" w:space="0"/>
              <w:right w:val="single" w:color="auto" w:sz="4" w:space="0"/>
            </w:tcBorders>
            <w:vAlign w:val="center"/>
          </w:tcPr>
          <w:p w14:paraId="7306D5D3">
            <w:pPr>
              <w:autoSpaceDE w:val="0"/>
              <w:autoSpaceDN w:val="0"/>
              <w:adjustRightInd w:val="0"/>
              <w:spacing w:line="360" w:lineRule="auto"/>
              <w:rPr>
                <w:rFonts w:hint="eastAsia" w:ascii="宋体" w:hAnsi="宋体"/>
                <w:color w:val="auto"/>
                <w:sz w:val="21"/>
                <w:szCs w:val="21"/>
                <w:highlight w:val="none"/>
              </w:rPr>
            </w:pPr>
            <w:r>
              <w:rPr>
                <w:rFonts w:ascii="宋体" w:hAnsi="宋体"/>
                <w:color w:val="auto"/>
                <w:sz w:val="21"/>
                <w:szCs w:val="21"/>
                <w:highlight w:val="none"/>
              </w:rPr>
              <w:t>符合“</w:t>
            </w:r>
            <w:r>
              <w:rPr>
                <w:rFonts w:hint="eastAsia" w:ascii="宋体" w:hAnsi="宋体"/>
                <w:color w:val="auto"/>
                <w:sz w:val="21"/>
                <w:szCs w:val="21"/>
                <w:highlight w:val="none"/>
              </w:rPr>
              <w:t>第六章  竞争性磋商响应文件格式</w:t>
            </w:r>
            <w:r>
              <w:rPr>
                <w:rFonts w:ascii="宋体" w:hAnsi="宋体"/>
                <w:color w:val="auto"/>
                <w:sz w:val="21"/>
                <w:szCs w:val="21"/>
                <w:highlight w:val="none"/>
              </w:rPr>
              <w:t>”的要求</w:t>
            </w:r>
          </w:p>
        </w:tc>
      </w:tr>
      <w:tr w14:paraId="69AAF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959" w:type="dxa"/>
            <w:vMerge w:val="continue"/>
            <w:tcBorders>
              <w:top w:val="single" w:color="auto" w:sz="4" w:space="0"/>
              <w:left w:val="single" w:color="auto" w:sz="4" w:space="0"/>
              <w:right w:val="single" w:color="auto" w:sz="4" w:space="0"/>
            </w:tcBorders>
            <w:vAlign w:val="center"/>
          </w:tcPr>
          <w:p w14:paraId="5E55FED2">
            <w:pPr>
              <w:spacing w:line="360" w:lineRule="auto"/>
              <w:rPr>
                <w:rFonts w:hint="eastAsia" w:ascii="宋体" w:hAnsi="宋体"/>
                <w:color w:val="auto"/>
                <w:sz w:val="21"/>
                <w:szCs w:val="21"/>
                <w:highlight w:val="none"/>
              </w:rPr>
            </w:pPr>
          </w:p>
        </w:tc>
        <w:tc>
          <w:tcPr>
            <w:tcW w:w="1134" w:type="dxa"/>
            <w:vMerge w:val="continue"/>
            <w:tcBorders>
              <w:left w:val="single" w:color="auto" w:sz="4" w:space="0"/>
              <w:right w:val="single" w:color="auto" w:sz="4" w:space="0"/>
            </w:tcBorders>
            <w:vAlign w:val="center"/>
          </w:tcPr>
          <w:p w14:paraId="241DB13B">
            <w:pPr>
              <w:spacing w:line="360" w:lineRule="auto"/>
              <w:rPr>
                <w:rFonts w:hint="eastAsia" w:ascii="宋体" w:hAnsi="宋体"/>
                <w:color w:val="auto"/>
                <w:sz w:val="21"/>
                <w:szCs w:val="21"/>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14:paraId="2224F057">
            <w:pPr>
              <w:spacing w:line="360" w:lineRule="auto"/>
              <w:rPr>
                <w:rFonts w:hint="eastAsia" w:ascii="宋体" w:hAnsi="宋体"/>
                <w:color w:val="auto"/>
                <w:sz w:val="21"/>
                <w:szCs w:val="21"/>
                <w:highlight w:val="none"/>
              </w:rPr>
            </w:pPr>
            <w:r>
              <w:rPr>
                <w:rFonts w:hint="eastAsia" w:ascii="宋体" w:hAnsi="宋体"/>
                <w:color w:val="auto"/>
                <w:kern w:val="2"/>
                <w:sz w:val="21"/>
                <w:szCs w:val="21"/>
                <w:highlight w:val="none"/>
              </w:rPr>
              <w:t>服务周期</w:t>
            </w:r>
          </w:p>
        </w:tc>
        <w:tc>
          <w:tcPr>
            <w:tcW w:w="5812" w:type="dxa"/>
            <w:tcBorders>
              <w:top w:val="single" w:color="auto" w:sz="4" w:space="0"/>
              <w:left w:val="single" w:color="auto" w:sz="4" w:space="0"/>
              <w:bottom w:val="single" w:color="auto" w:sz="4" w:space="0"/>
              <w:right w:val="single" w:color="auto" w:sz="4" w:space="0"/>
            </w:tcBorders>
            <w:vAlign w:val="center"/>
          </w:tcPr>
          <w:p w14:paraId="7E24ED27">
            <w:pPr>
              <w:spacing w:line="360" w:lineRule="auto"/>
              <w:rPr>
                <w:rFonts w:hint="eastAsia" w:ascii="宋体" w:hAnsi="宋体"/>
                <w:color w:val="auto"/>
                <w:sz w:val="21"/>
                <w:szCs w:val="21"/>
                <w:highlight w:val="none"/>
              </w:rPr>
            </w:pPr>
            <w:r>
              <w:rPr>
                <w:rFonts w:hint="eastAsia" w:ascii="宋体" w:hAnsi="宋体"/>
                <w:color w:val="auto"/>
                <w:sz w:val="21"/>
                <w:szCs w:val="21"/>
                <w:highlight w:val="none"/>
              </w:rPr>
              <w:t>符合竞争性磋商文件要求</w:t>
            </w:r>
          </w:p>
        </w:tc>
      </w:tr>
      <w:tr w14:paraId="67ADD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959" w:type="dxa"/>
            <w:vMerge w:val="continue"/>
            <w:tcBorders>
              <w:top w:val="single" w:color="auto" w:sz="4" w:space="0"/>
              <w:left w:val="single" w:color="auto" w:sz="4" w:space="0"/>
              <w:right w:val="single" w:color="auto" w:sz="4" w:space="0"/>
            </w:tcBorders>
            <w:vAlign w:val="center"/>
          </w:tcPr>
          <w:p w14:paraId="5DCC9D54">
            <w:pPr>
              <w:spacing w:line="360" w:lineRule="auto"/>
              <w:rPr>
                <w:rFonts w:hint="eastAsia" w:ascii="宋体" w:hAnsi="宋体"/>
                <w:color w:val="auto"/>
                <w:sz w:val="21"/>
                <w:szCs w:val="21"/>
                <w:highlight w:val="none"/>
              </w:rPr>
            </w:pPr>
          </w:p>
        </w:tc>
        <w:tc>
          <w:tcPr>
            <w:tcW w:w="1134" w:type="dxa"/>
            <w:vMerge w:val="continue"/>
            <w:tcBorders>
              <w:left w:val="single" w:color="auto" w:sz="4" w:space="0"/>
              <w:right w:val="single" w:color="auto" w:sz="4" w:space="0"/>
            </w:tcBorders>
            <w:vAlign w:val="center"/>
          </w:tcPr>
          <w:p w14:paraId="0DBC7516">
            <w:pPr>
              <w:spacing w:line="360" w:lineRule="auto"/>
              <w:rPr>
                <w:rFonts w:hint="eastAsia" w:ascii="宋体" w:hAnsi="宋体"/>
                <w:color w:val="auto"/>
                <w:sz w:val="21"/>
                <w:szCs w:val="21"/>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14:paraId="11E4911B">
            <w:pPr>
              <w:spacing w:line="360" w:lineRule="auto"/>
              <w:rPr>
                <w:rFonts w:hint="eastAsia" w:ascii="宋体" w:hAnsi="宋体"/>
                <w:color w:val="auto"/>
                <w:sz w:val="21"/>
                <w:szCs w:val="21"/>
                <w:highlight w:val="none"/>
              </w:rPr>
            </w:pPr>
            <w:r>
              <w:rPr>
                <w:rFonts w:hint="eastAsia" w:ascii="宋体" w:hAnsi="宋体"/>
                <w:color w:val="auto"/>
                <w:sz w:val="21"/>
                <w:szCs w:val="21"/>
                <w:highlight w:val="none"/>
              </w:rPr>
              <w:t>磋商</w:t>
            </w:r>
            <w:r>
              <w:rPr>
                <w:rFonts w:ascii="宋体" w:hAnsi="宋体"/>
                <w:color w:val="auto"/>
                <w:sz w:val="21"/>
                <w:szCs w:val="21"/>
                <w:highlight w:val="none"/>
              </w:rPr>
              <w:t>有效期</w:t>
            </w:r>
          </w:p>
        </w:tc>
        <w:tc>
          <w:tcPr>
            <w:tcW w:w="5812" w:type="dxa"/>
            <w:tcBorders>
              <w:top w:val="single" w:color="auto" w:sz="4" w:space="0"/>
              <w:left w:val="single" w:color="auto" w:sz="4" w:space="0"/>
              <w:bottom w:val="single" w:color="auto" w:sz="4" w:space="0"/>
              <w:right w:val="single" w:color="auto" w:sz="4" w:space="0"/>
            </w:tcBorders>
            <w:vAlign w:val="center"/>
          </w:tcPr>
          <w:p w14:paraId="089F708F">
            <w:pPr>
              <w:spacing w:line="360" w:lineRule="auto"/>
              <w:rPr>
                <w:rFonts w:hint="eastAsia" w:ascii="宋体" w:hAnsi="宋体"/>
                <w:color w:val="auto"/>
                <w:sz w:val="21"/>
                <w:szCs w:val="21"/>
                <w:highlight w:val="none"/>
              </w:rPr>
            </w:pPr>
            <w:r>
              <w:rPr>
                <w:rFonts w:hint="eastAsia" w:ascii="宋体" w:hAnsi="宋体"/>
                <w:color w:val="auto"/>
                <w:sz w:val="21"/>
                <w:szCs w:val="21"/>
                <w:highlight w:val="none"/>
              </w:rPr>
              <w:t>磋商</w:t>
            </w:r>
            <w:r>
              <w:rPr>
                <w:rFonts w:ascii="宋体" w:hAnsi="宋体"/>
                <w:color w:val="auto"/>
                <w:sz w:val="21"/>
                <w:szCs w:val="21"/>
                <w:highlight w:val="none"/>
              </w:rPr>
              <w:t>有效期满足竞争性磋商文件要求</w:t>
            </w:r>
          </w:p>
        </w:tc>
      </w:tr>
      <w:tr w14:paraId="60EBB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959" w:type="dxa"/>
            <w:vMerge w:val="continue"/>
            <w:tcBorders>
              <w:left w:val="single" w:color="auto" w:sz="4" w:space="0"/>
              <w:bottom w:val="single" w:color="auto" w:sz="4" w:space="0"/>
              <w:right w:val="single" w:color="auto" w:sz="4" w:space="0"/>
            </w:tcBorders>
            <w:vAlign w:val="center"/>
          </w:tcPr>
          <w:p w14:paraId="13170AF6">
            <w:pPr>
              <w:spacing w:line="360" w:lineRule="auto"/>
              <w:rPr>
                <w:rFonts w:hint="eastAsia" w:ascii="宋体" w:hAnsi="宋体"/>
                <w:color w:val="auto"/>
                <w:sz w:val="21"/>
                <w:szCs w:val="21"/>
                <w:highlight w:val="none"/>
              </w:rPr>
            </w:pPr>
          </w:p>
        </w:tc>
        <w:tc>
          <w:tcPr>
            <w:tcW w:w="1134" w:type="dxa"/>
            <w:vMerge w:val="continue"/>
            <w:tcBorders>
              <w:left w:val="single" w:color="auto" w:sz="4" w:space="0"/>
              <w:right w:val="single" w:color="auto" w:sz="4" w:space="0"/>
            </w:tcBorders>
            <w:vAlign w:val="center"/>
          </w:tcPr>
          <w:p w14:paraId="760C3C95">
            <w:pPr>
              <w:spacing w:line="360" w:lineRule="auto"/>
              <w:rPr>
                <w:rFonts w:hint="eastAsia" w:ascii="宋体" w:hAnsi="宋体"/>
                <w:color w:val="auto"/>
                <w:sz w:val="21"/>
                <w:szCs w:val="21"/>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14:paraId="4E7D0954">
            <w:pPr>
              <w:spacing w:line="360" w:lineRule="auto"/>
              <w:rPr>
                <w:rFonts w:hint="eastAsia" w:ascii="宋体" w:hAnsi="宋体"/>
                <w:color w:val="auto"/>
                <w:sz w:val="21"/>
                <w:szCs w:val="21"/>
                <w:highlight w:val="none"/>
              </w:rPr>
            </w:pPr>
            <w:r>
              <w:rPr>
                <w:rFonts w:hint="eastAsia" w:ascii="宋体" w:hAnsi="宋体"/>
                <w:color w:val="auto"/>
                <w:sz w:val="21"/>
                <w:szCs w:val="21"/>
                <w:highlight w:val="none"/>
              </w:rPr>
              <w:t>磋商报价</w:t>
            </w:r>
          </w:p>
        </w:tc>
        <w:tc>
          <w:tcPr>
            <w:tcW w:w="5812" w:type="dxa"/>
            <w:tcBorders>
              <w:top w:val="single" w:color="auto" w:sz="4" w:space="0"/>
              <w:left w:val="single" w:color="auto" w:sz="4" w:space="0"/>
              <w:bottom w:val="single" w:color="auto" w:sz="4" w:space="0"/>
              <w:right w:val="single" w:color="auto" w:sz="4" w:space="0"/>
            </w:tcBorders>
            <w:vAlign w:val="center"/>
          </w:tcPr>
          <w:p w14:paraId="2DDBB641">
            <w:pPr>
              <w:spacing w:line="360" w:lineRule="auto"/>
              <w:rPr>
                <w:rFonts w:hint="eastAsia" w:ascii="宋体" w:hAnsi="宋体"/>
                <w:color w:val="auto"/>
                <w:sz w:val="21"/>
                <w:szCs w:val="21"/>
                <w:highlight w:val="none"/>
              </w:rPr>
            </w:pPr>
            <w:r>
              <w:rPr>
                <w:rFonts w:hint="eastAsia" w:ascii="宋体" w:hAnsi="宋体"/>
                <w:color w:val="auto"/>
                <w:sz w:val="21"/>
                <w:szCs w:val="21"/>
                <w:highlight w:val="none"/>
              </w:rPr>
              <w:t>符合竞争性磋商文件要求。</w:t>
            </w:r>
          </w:p>
        </w:tc>
      </w:tr>
      <w:tr w14:paraId="6E96D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2093" w:type="dxa"/>
            <w:gridSpan w:val="2"/>
            <w:tcBorders>
              <w:top w:val="single" w:color="auto" w:sz="4" w:space="0"/>
              <w:left w:val="single" w:color="auto" w:sz="4" w:space="0"/>
              <w:bottom w:val="single" w:color="auto" w:sz="4" w:space="0"/>
              <w:right w:val="single" w:color="auto" w:sz="4" w:space="0"/>
            </w:tcBorders>
            <w:vAlign w:val="center"/>
          </w:tcPr>
          <w:p w14:paraId="4D6C1703">
            <w:pPr>
              <w:autoSpaceDE w:val="0"/>
              <w:autoSpaceDN w:val="0"/>
              <w:adjustRightInd w:val="0"/>
              <w:spacing w:line="360" w:lineRule="auto"/>
              <w:jc w:val="center"/>
              <w:rPr>
                <w:rFonts w:hint="eastAsia" w:ascii="宋体" w:hAnsi="宋体"/>
                <w:b/>
                <w:color w:val="auto"/>
                <w:sz w:val="21"/>
                <w:szCs w:val="21"/>
                <w:highlight w:val="none"/>
              </w:rPr>
            </w:pPr>
            <w:r>
              <w:rPr>
                <w:rFonts w:hint="eastAsia" w:ascii="宋体" w:hAnsi="宋体"/>
                <w:b/>
                <w:color w:val="auto"/>
                <w:sz w:val="21"/>
                <w:szCs w:val="21"/>
                <w:highlight w:val="none"/>
              </w:rPr>
              <w:t>条款号</w:t>
            </w:r>
          </w:p>
        </w:tc>
        <w:tc>
          <w:tcPr>
            <w:tcW w:w="1701" w:type="dxa"/>
            <w:tcBorders>
              <w:top w:val="single" w:color="auto" w:sz="4" w:space="0"/>
              <w:left w:val="single" w:color="auto" w:sz="4" w:space="0"/>
              <w:bottom w:val="single" w:color="auto" w:sz="4" w:space="0"/>
              <w:right w:val="single" w:color="auto" w:sz="4" w:space="0"/>
            </w:tcBorders>
            <w:vAlign w:val="center"/>
          </w:tcPr>
          <w:p w14:paraId="46BBA0D0">
            <w:pPr>
              <w:autoSpaceDE w:val="0"/>
              <w:autoSpaceDN w:val="0"/>
              <w:adjustRightInd w:val="0"/>
              <w:spacing w:line="360" w:lineRule="auto"/>
              <w:jc w:val="center"/>
              <w:rPr>
                <w:rFonts w:hint="eastAsia" w:ascii="宋体" w:hAnsi="宋体"/>
                <w:b/>
                <w:color w:val="auto"/>
                <w:sz w:val="21"/>
                <w:szCs w:val="21"/>
                <w:highlight w:val="none"/>
              </w:rPr>
            </w:pPr>
            <w:r>
              <w:rPr>
                <w:rFonts w:hint="eastAsia" w:ascii="宋体" w:hAnsi="宋体"/>
                <w:b/>
                <w:color w:val="auto"/>
                <w:sz w:val="21"/>
                <w:szCs w:val="21"/>
                <w:highlight w:val="none"/>
              </w:rPr>
              <w:t>评审因素</w:t>
            </w:r>
          </w:p>
        </w:tc>
        <w:tc>
          <w:tcPr>
            <w:tcW w:w="5812" w:type="dxa"/>
            <w:tcBorders>
              <w:top w:val="single" w:color="auto" w:sz="4" w:space="0"/>
              <w:left w:val="single" w:color="auto" w:sz="4" w:space="0"/>
              <w:bottom w:val="single" w:color="auto" w:sz="4" w:space="0"/>
              <w:right w:val="single" w:color="auto" w:sz="4" w:space="0"/>
            </w:tcBorders>
            <w:vAlign w:val="center"/>
          </w:tcPr>
          <w:p w14:paraId="2715136C">
            <w:pPr>
              <w:autoSpaceDE w:val="0"/>
              <w:autoSpaceDN w:val="0"/>
              <w:adjustRightInd w:val="0"/>
              <w:spacing w:line="360" w:lineRule="auto"/>
              <w:jc w:val="center"/>
              <w:rPr>
                <w:rFonts w:hint="eastAsia" w:ascii="宋体" w:hAnsi="宋体"/>
                <w:b/>
                <w:color w:val="auto"/>
                <w:sz w:val="21"/>
                <w:szCs w:val="21"/>
                <w:highlight w:val="none"/>
              </w:rPr>
            </w:pPr>
            <w:r>
              <w:rPr>
                <w:rFonts w:hint="eastAsia" w:ascii="宋体" w:hAnsi="宋体"/>
                <w:b/>
                <w:color w:val="auto"/>
                <w:sz w:val="21"/>
                <w:szCs w:val="21"/>
                <w:highlight w:val="none"/>
              </w:rPr>
              <w:t>评审标准</w:t>
            </w:r>
          </w:p>
        </w:tc>
      </w:tr>
      <w:tr w14:paraId="6FA5C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2093" w:type="dxa"/>
            <w:gridSpan w:val="2"/>
            <w:vMerge w:val="restart"/>
            <w:tcBorders>
              <w:top w:val="single" w:color="auto" w:sz="4" w:space="0"/>
              <w:left w:val="single" w:color="auto" w:sz="4" w:space="0"/>
              <w:right w:val="single" w:color="auto" w:sz="4" w:space="0"/>
            </w:tcBorders>
            <w:vAlign w:val="center"/>
          </w:tcPr>
          <w:p w14:paraId="2AE1AFFD">
            <w:pPr>
              <w:autoSpaceDE w:val="0"/>
              <w:autoSpaceDN w:val="0"/>
              <w:adjustRightInd w:val="0"/>
              <w:spacing w:line="360" w:lineRule="auto"/>
              <w:jc w:val="center"/>
              <w:rPr>
                <w:rFonts w:hint="eastAsia" w:ascii="宋体" w:hAnsi="宋体"/>
                <w:color w:val="auto"/>
                <w:sz w:val="21"/>
                <w:szCs w:val="21"/>
                <w:highlight w:val="none"/>
              </w:rPr>
            </w:pPr>
            <w:r>
              <w:rPr>
                <w:rFonts w:hint="eastAsia" w:ascii="宋体" w:hAnsi="宋体"/>
                <w:color w:val="auto"/>
                <w:sz w:val="21"/>
                <w:szCs w:val="21"/>
                <w:highlight w:val="none"/>
              </w:rPr>
              <w:t>2.2.1</w:t>
            </w:r>
          </w:p>
        </w:tc>
        <w:tc>
          <w:tcPr>
            <w:tcW w:w="1701" w:type="dxa"/>
            <w:vMerge w:val="restart"/>
            <w:tcBorders>
              <w:top w:val="single" w:color="auto" w:sz="4" w:space="0"/>
              <w:left w:val="single" w:color="auto" w:sz="4" w:space="0"/>
              <w:right w:val="single" w:color="auto" w:sz="4" w:space="0"/>
            </w:tcBorders>
            <w:vAlign w:val="center"/>
          </w:tcPr>
          <w:p w14:paraId="2F293E06">
            <w:pPr>
              <w:autoSpaceDE w:val="0"/>
              <w:autoSpaceDN w:val="0"/>
              <w:adjustRightInd w:val="0"/>
              <w:spacing w:line="360" w:lineRule="auto"/>
              <w:jc w:val="center"/>
              <w:rPr>
                <w:rFonts w:hint="eastAsia" w:ascii="宋体" w:hAnsi="宋体"/>
                <w:color w:val="auto"/>
                <w:sz w:val="21"/>
                <w:szCs w:val="21"/>
                <w:highlight w:val="none"/>
              </w:rPr>
            </w:pPr>
            <w:r>
              <w:rPr>
                <w:rFonts w:hint="eastAsia" w:ascii="宋体" w:hAnsi="宋体"/>
                <w:color w:val="auto"/>
                <w:sz w:val="21"/>
                <w:szCs w:val="21"/>
                <w:highlight w:val="none"/>
              </w:rPr>
              <w:t>分值构成</w:t>
            </w:r>
          </w:p>
          <w:p w14:paraId="5C3D4019">
            <w:pPr>
              <w:autoSpaceDE w:val="0"/>
              <w:autoSpaceDN w:val="0"/>
              <w:adjustRightInd w:val="0"/>
              <w:spacing w:line="360" w:lineRule="auto"/>
              <w:jc w:val="center"/>
              <w:rPr>
                <w:rFonts w:hint="eastAsia" w:ascii="宋体" w:hAnsi="宋体"/>
                <w:color w:val="auto"/>
                <w:sz w:val="21"/>
                <w:szCs w:val="21"/>
                <w:highlight w:val="none"/>
              </w:rPr>
            </w:pPr>
            <w:r>
              <w:rPr>
                <w:rFonts w:hint="eastAsia" w:ascii="宋体" w:hAnsi="宋体"/>
                <w:color w:val="auto"/>
                <w:sz w:val="21"/>
                <w:szCs w:val="21"/>
                <w:highlight w:val="none"/>
              </w:rPr>
              <w:t>（满分100分）</w:t>
            </w:r>
          </w:p>
        </w:tc>
        <w:tc>
          <w:tcPr>
            <w:tcW w:w="5812" w:type="dxa"/>
            <w:tcBorders>
              <w:top w:val="single" w:color="auto" w:sz="4" w:space="0"/>
              <w:left w:val="single" w:color="auto" w:sz="4" w:space="0"/>
              <w:bottom w:val="single" w:color="auto" w:sz="4" w:space="0"/>
              <w:right w:val="single" w:color="auto" w:sz="4" w:space="0"/>
            </w:tcBorders>
            <w:vAlign w:val="center"/>
          </w:tcPr>
          <w:p w14:paraId="34D0E9B5">
            <w:pPr>
              <w:autoSpaceDE w:val="0"/>
              <w:autoSpaceDN w:val="0"/>
              <w:adjustRightIn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供应商的评审总得分＝F1＋F2</w:t>
            </w:r>
          </w:p>
          <w:p w14:paraId="4DA28A70">
            <w:pPr>
              <w:autoSpaceDE w:val="0"/>
              <w:autoSpaceDN w:val="0"/>
              <w:adjustRightIn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其中：F1、F2分别为磋商报价和技术部分2项评分因素的汇总得分；</w:t>
            </w:r>
          </w:p>
        </w:tc>
      </w:tr>
      <w:tr w14:paraId="11BA1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2093" w:type="dxa"/>
            <w:gridSpan w:val="2"/>
            <w:vMerge w:val="continue"/>
            <w:tcBorders>
              <w:left w:val="single" w:color="auto" w:sz="4" w:space="0"/>
              <w:bottom w:val="single" w:color="auto" w:sz="4" w:space="0"/>
              <w:right w:val="single" w:color="auto" w:sz="4" w:space="0"/>
            </w:tcBorders>
            <w:vAlign w:val="center"/>
          </w:tcPr>
          <w:p w14:paraId="450405A1">
            <w:pPr>
              <w:autoSpaceDE w:val="0"/>
              <w:autoSpaceDN w:val="0"/>
              <w:adjustRightInd w:val="0"/>
              <w:spacing w:line="360" w:lineRule="auto"/>
              <w:jc w:val="center"/>
              <w:rPr>
                <w:rFonts w:hint="eastAsia" w:ascii="宋体" w:hAnsi="宋体"/>
                <w:color w:val="auto"/>
                <w:sz w:val="21"/>
                <w:szCs w:val="21"/>
                <w:highlight w:val="none"/>
              </w:rPr>
            </w:pPr>
          </w:p>
        </w:tc>
        <w:tc>
          <w:tcPr>
            <w:tcW w:w="1701" w:type="dxa"/>
            <w:vMerge w:val="continue"/>
            <w:tcBorders>
              <w:left w:val="single" w:color="auto" w:sz="4" w:space="0"/>
              <w:bottom w:val="single" w:color="auto" w:sz="4" w:space="0"/>
              <w:right w:val="single" w:color="auto" w:sz="4" w:space="0"/>
            </w:tcBorders>
            <w:vAlign w:val="center"/>
          </w:tcPr>
          <w:p w14:paraId="4658CE06">
            <w:pPr>
              <w:autoSpaceDE w:val="0"/>
              <w:autoSpaceDN w:val="0"/>
              <w:adjustRightInd w:val="0"/>
              <w:spacing w:line="360" w:lineRule="auto"/>
              <w:jc w:val="center"/>
              <w:rPr>
                <w:rFonts w:hint="eastAsia" w:ascii="宋体" w:hAnsi="宋体"/>
                <w:color w:val="auto"/>
                <w:sz w:val="21"/>
                <w:szCs w:val="21"/>
                <w:highlight w:val="none"/>
              </w:rPr>
            </w:pPr>
          </w:p>
        </w:tc>
        <w:tc>
          <w:tcPr>
            <w:tcW w:w="5812" w:type="dxa"/>
            <w:tcBorders>
              <w:top w:val="single" w:color="auto" w:sz="4" w:space="0"/>
              <w:left w:val="single" w:color="auto" w:sz="4" w:space="0"/>
              <w:bottom w:val="single" w:color="auto" w:sz="4" w:space="0"/>
              <w:right w:val="single" w:color="auto" w:sz="4" w:space="0"/>
            </w:tcBorders>
            <w:vAlign w:val="center"/>
          </w:tcPr>
          <w:p w14:paraId="57E4A288">
            <w:pPr>
              <w:spacing w:line="360" w:lineRule="auto"/>
              <w:ind w:left="1258" w:hanging="1258"/>
              <w:rPr>
                <w:rFonts w:hint="eastAsia" w:ascii="宋体" w:hAnsi="宋体"/>
                <w:color w:val="auto"/>
                <w:sz w:val="21"/>
                <w:szCs w:val="21"/>
                <w:highlight w:val="none"/>
              </w:rPr>
            </w:pPr>
            <w:r>
              <w:rPr>
                <w:rFonts w:hint="eastAsia" w:ascii="宋体" w:hAnsi="宋体"/>
                <w:color w:val="auto"/>
                <w:sz w:val="21"/>
                <w:szCs w:val="21"/>
                <w:highlight w:val="none"/>
              </w:rPr>
              <w:t>磋商</w:t>
            </w:r>
            <w:r>
              <w:rPr>
                <w:rFonts w:ascii="宋体" w:hAnsi="宋体"/>
                <w:color w:val="auto"/>
                <w:sz w:val="21"/>
                <w:szCs w:val="21"/>
                <w:highlight w:val="none"/>
              </w:rPr>
              <w:t>报价F1：</w:t>
            </w:r>
            <w:r>
              <w:rPr>
                <w:rFonts w:hint="eastAsia" w:ascii="宋体" w:hAnsi="宋体"/>
                <w:color w:val="auto"/>
                <w:sz w:val="21"/>
                <w:szCs w:val="21"/>
                <w:highlight w:val="none"/>
              </w:rPr>
              <w:t>10分</w:t>
            </w:r>
            <w:r>
              <w:rPr>
                <w:rFonts w:ascii="宋体" w:hAnsi="宋体"/>
                <w:color w:val="auto"/>
                <w:sz w:val="21"/>
                <w:szCs w:val="21"/>
                <w:highlight w:val="none"/>
              </w:rPr>
              <w:t>。</w:t>
            </w:r>
          </w:p>
          <w:p w14:paraId="793C19E3">
            <w:pPr>
              <w:spacing w:line="360" w:lineRule="auto"/>
              <w:rPr>
                <w:rFonts w:hint="eastAsia" w:ascii="宋体" w:hAnsi="宋体"/>
                <w:color w:val="auto"/>
                <w:sz w:val="21"/>
                <w:szCs w:val="21"/>
                <w:highlight w:val="none"/>
              </w:rPr>
            </w:pPr>
            <w:r>
              <w:rPr>
                <w:rFonts w:ascii="宋体" w:hAnsi="宋体"/>
                <w:color w:val="auto"/>
                <w:sz w:val="21"/>
                <w:szCs w:val="21"/>
                <w:highlight w:val="none"/>
              </w:rPr>
              <w:t>技术部分F2：</w:t>
            </w:r>
            <w:r>
              <w:rPr>
                <w:rFonts w:hint="eastAsia" w:ascii="宋体" w:hAnsi="宋体"/>
                <w:color w:val="auto"/>
                <w:sz w:val="21"/>
                <w:szCs w:val="21"/>
                <w:highlight w:val="none"/>
              </w:rPr>
              <w:t>90</w:t>
            </w:r>
            <w:r>
              <w:rPr>
                <w:rFonts w:ascii="宋体" w:hAnsi="宋体"/>
                <w:color w:val="auto"/>
                <w:sz w:val="21"/>
                <w:szCs w:val="21"/>
                <w:highlight w:val="none"/>
              </w:rPr>
              <w:t>分。</w:t>
            </w:r>
          </w:p>
        </w:tc>
      </w:tr>
      <w:tr w14:paraId="60B5D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trPr>
        <w:tc>
          <w:tcPr>
            <w:tcW w:w="959" w:type="dxa"/>
            <w:tcBorders>
              <w:left w:val="single" w:color="auto" w:sz="4" w:space="0"/>
              <w:right w:val="single" w:color="auto" w:sz="4" w:space="0"/>
            </w:tcBorders>
            <w:vAlign w:val="center"/>
          </w:tcPr>
          <w:p w14:paraId="2BBF6390">
            <w:pPr>
              <w:autoSpaceDE w:val="0"/>
              <w:autoSpaceDN w:val="0"/>
              <w:adjustRightInd w:val="0"/>
              <w:spacing w:line="360" w:lineRule="auto"/>
              <w:jc w:val="center"/>
              <w:rPr>
                <w:rFonts w:hint="eastAsia" w:ascii="宋体" w:hAnsi="宋体"/>
                <w:color w:val="auto"/>
                <w:sz w:val="21"/>
                <w:szCs w:val="21"/>
                <w:highlight w:val="none"/>
              </w:rPr>
            </w:pPr>
            <w:r>
              <w:rPr>
                <w:rFonts w:hint="eastAsia" w:ascii="宋体" w:hAnsi="宋体"/>
                <w:color w:val="auto"/>
                <w:sz w:val="21"/>
                <w:szCs w:val="21"/>
                <w:highlight w:val="none"/>
              </w:rPr>
              <w:t>2.2.2（1）</w:t>
            </w:r>
          </w:p>
        </w:tc>
        <w:tc>
          <w:tcPr>
            <w:tcW w:w="1134" w:type="dxa"/>
            <w:tcBorders>
              <w:left w:val="single" w:color="auto" w:sz="4" w:space="0"/>
              <w:right w:val="single" w:color="auto" w:sz="4" w:space="0"/>
            </w:tcBorders>
            <w:vAlign w:val="center"/>
          </w:tcPr>
          <w:p w14:paraId="685B4A66">
            <w:pPr>
              <w:autoSpaceDE w:val="0"/>
              <w:autoSpaceDN w:val="0"/>
              <w:adjustRightInd w:val="0"/>
              <w:spacing w:line="360" w:lineRule="auto"/>
              <w:jc w:val="center"/>
              <w:rPr>
                <w:rFonts w:hint="eastAsia" w:ascii="宋体" w:hAnsi="宋体"/>
                <w:color w:val="auto"/>
                <w:sz w:val="21"/>
                <w:szCs w:val="21"/>
                <w:highlight w:val="none"/>
              </w:rPr>
            </w:pPr>
            <w:r>
              <w:rPr>
                <w:rFonts w:hint="eastAsia" w:ascii="宋体" w:hAnsi="宋体"/>
                <w:color w:val="auto"/>
                <w:sz w:val="21"/>
                <w:szCs w:val="21"/>
                <w:highlight w:val="none"/>
              </w:rPr>
              <w:t>磋商</w:t>
            </w:r>
            <w:r>
              <w:rPr>
                <w:rFonts w:ascii="宋体" w:hAnsi="宋体"/>
                <w:color w:val="auto"/>
                <w:sz w:val="21"/>
                <w:szCs w:val="21"/>
                <w:highlight w:val="none"/>
              </w:rPr>
              <w:t>报价F1</w:t>
            </w:r>
            <w:r>
              <w:rPr>
                <w:rFonts w:hint="eastAsia" w:ascii="宋体" w:hAnsi="宋体"/>
                <w:color w:val="auto"/>
                <w:sz w:val="21"/>
                <w:szCs w:val="21"/>
                <w:highlight w:val="none"/>
              </w:rPr>
              <w:t>评审标准</w:t>
            </w:r>
          </w:p>
        </w:tc>
        <w:tc>
          <w:tcPr>
            <w:tcW w:w="1701" w:type="dxa"/>
            <w:tcBorders>
              <w:top w:val="single" w:color="auto" w:sz="4" w:space="0"/>
              <w:left w:val="single" w:color="auto" w:sz="4" w:space="0"/>
              <w:right w:val="single" w:color="auto" w:sz="4" w:space="0"/>
            </w:tcBorders>
            <w:vAlign w:val="center"/>
          </w:tcPr>
          <w:p w14:paraId="11422903">
            <w:pPr>
              <w:autoSpaceDE w:val="0"/>
              <w:autoSpaceDN w:val="0"/>
              <w:adjustRightInd w:val="0"/>
              <w:spacing w:line="360" w:lineRule="auto"/>
              <w:jc w:val="center"/>
              <w:rPr>
                <w:rFonts w:hint="eastAsia" w:ascii="宋体" w:hAnsi="宋体"/>
                <w:color w:val="auto"/>
                <w:sz w:val="21"/>
                <w:szCs w:val="21"/>
                <w:highlight w:val="none"/>
              </w:rPr>
            </w:pPr>
            <w:r>
              <w:rPr>
                <w:rFonts w:hint="eastAsia" w:ascii="宋体" w:hAnsi="宋体"/>
                <w:b/>
                <w:bCs/>
                <w:color w:val="auto"/>
                <w:sz w:val="21"/>
                <w:szCs w:val="21"/>
                <w:highlight w:val="none"/>
              </w:rPr>
              <w:t>磋商报价评审标准</w:t>
            </w:r>
          </w:p>
        </w:tc>
        <w:tc>
          <w:tcPr>
            <w:tcW w:w="5812" w:type="dxa"/>
            <w:tcBorders>
              <w:top w:val="single" w:color="auto" w:sz="4" w:space="0"/>
              <w:left w:val="single" w:color="auto" w:sz="4" w:space="0"/>
              <w:right w:val="single" w:color="auto" w:sz="4" w:space="0"/>
            </w:tcBorders>
            <w:vAlign w:val="center"/>
          </w:tcPr>
          <w:p w14:paraId="322C1888">
            <w:pPr>
              <w:autoSpaceDE w:val="0"/>
              <w:autoSpaceDN w:val="0"/>
              <w:adjustRightInd w:val="0"/>
              <w:spacing w:line="360" w:lineRule="auto"/>
              <w:jc w:val="both"/>
              <w:rPr>
                <w:rFonts w:hint="eastAsia" w:ascii="宋体" w:hAnsi="宋体"/>
                <w:bCs/>
                <w:color w:val="auto"/>
                <w:sz w:val="21"/>
                <w:szCs w:val="21"/>
                <w:highlight w:val="none"/>
              </w:rPr>
            </w:pPr>
            <w:r>
              <w:rPr>
                <w:rFonts w:hint="eastAsia" w:ascii="宋体" w:hAnsi="宋体"/>
                <w:bCs/>
                <w:color w:val="auto"/>
                <w:sz w:val="21"/>
                <w:szCs w:val="21"/>
                <w:highlight w:val="none"/>
              </w:rPr>
              <w:t>有效磋商总报价（以供应商二次报价（最终报价）为准）中的平均价为（基准价），等于基准价的得满分10分，与基准价相比（比值）每向上下浮动1%时扣0.1分，分值扣完为止。(扣减分值中间值用插入法,小数点后保留两位。)</w:t>
            </w:r>
          </w:p>
          <w:p w14:paraId="71EB7BF0">
            <w:pPr>
              <w:autoSpaceDE w:val="0"/>
              <w:autoSpaceDN w:val="0"/>
              <w:adjustRightInd w:val="0"/>
              <w:spacing w:line="360" w:lineRule="auto"/>
              <w:jc w:val="both"/>
              <w:rPr>
                <w:rFonts w:hint="eastAsia" w:ascii="宋体" w:hAnsi="宋体"/>
                <w:bCs/>
                <w:color w:val="auto"/>
                <w:sz w:val="21"/>
                <w:szCs w:val="21"/>
                <w:highlight w:val="none"/>
              </w:rPr>
            </w:pPr>
            <w:r>
              <w:rPr>
                <w:rFonts w:hint="eastAsia" w:hAnsi="宋体" w:cs="宋体"/>
                <w:color w:val="auto"/>
                <w:sz w:val="21"/>
                <w:szCs w:val="21"/>
                <w:lang w:val="en-US" w:eastAsia="zh-CN"/>
              </w:rPr>
              <w:t>注：以二次报价为计算依据。</w:t>
            </w:r>
          </w:p>
        </w:tc>
      </w:tr>
      <w:tr w14:paraId="4279D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959" w:type="dxa"/>
            <w:vMerge w:val="restart"/>
            <w:tcBorders>
              <w:left w:val="single" w:color="auto" w:sz="4" w:space="0"/>
              <w:right w:val="single" w:color="auto" w:sz="4" w:space="0"/>
            </w:tcBorders>
            <w:vAlign w:val="center"/>
          </w:tcPr>
          <w:p w14:paraId="3AB83DCF">
            <w:pPr>
              <w:autoSpaceDE w:val="0"/>
              <w:autoSpaceDN w:val="0"/>
              <w:adjustRightInd w:val="0"/>
              <w:spacing w:line="360" w:lineRule="auto"/>
              <w:jc w:val="center"/>
              <w:rPr>
                <w:rFonts w:hint="eastAsia" w:ascii="宋体" w:hAnsi="宋体"/>
                <w:color w:val="auto"/>
                <w:sz w:val="21"/>
                <w:szCs w:val="21"/>
                <w:highlight w:val="none"/>
              </w:rPr>
            </w:pPr>
          </w:p>
        </w:tc>
        <w:tc>
          <w:tcPr>
            <w:tcW w:w="1134" w:type="dxa"/>
            <w:vMerge w:val="restart"/>
            <w:tcBorders>
              <w:left w:val="single" w:color="auto" w:sz="4" w:space="0"/>
              <w:right w:val="single" w:color="auto" w:sz="4" w:space="0"/>
            </w:tcBorders>
            <w:vAlign w:val="center"/>
          </w:tcPr>
          <w:p w14:paraId="4927F083">
            <w:pPr>
              <w:autoSpaceDE w:val="0"/>
              <w:autoSpaceDN w:val="0"/>
              <w:adjustRightInd w:val="0"/>
              <w:spacing w:line="360" w:lineRule="auto"/>
              <w:jc w:val="center"/>
              <w:rPr>
                <w:rFonts w:hint="eastAsia" w:ascii="宋体" w:hAnsi="宋体"/>
                <w:color w:val="auto"/>
                <w:sz w:val="21"/>
                <w:szCs w:val="21"/>
                <w:highlight w:val="none"/>
              </w:rPr>
            </w:pPr>
          </w:p>
        </w:tc>
        <w:tc>
          <w:tcPr>
            <w:tcW w:w="1701" w:type="dxa"/>
            <w:tcBorders>
              <w:top w:val="single" w:color="auto" w:sz="4" w:space="0"/>
              <w:left w:val="single" w:color="auto" w:sz="4" w:space="0"/>
              <w:right w:val="single" w:color="auto" w:sz="4" w:space="0"/>
            </w:tcBorders>
            <w:vAlign w:val="center"/>
          </w:tcPr>
          <w:p w14:paraId="1C42A1EA">
            <w:pPr>
              <w:autoSpaceDE w:val="0"/>
              <w:autoSpaceDN w:val="0"/>
              <w:adjustRightInd w:val="0"/>
              <w:spacing w:line="360" w:lineRule="auto"/>
              <w:jc w:val="center"/>
              <w:rPr>
                <w:rFonts w:hint="eastAsia" w:ascii="宋体" w:hAnsi="宋体"/>
                <w:b/>
                <w:bCs/>
                <w:color w:val="auto"/>
                <w:sz w:val="21"/>
                <w:szCs w:val="21"/>
                <w:highlight w:val="none"/>
              </w:rPr>
            </w:pPr>
            <w:r>
              <w:rPr>
                <w:b/>
                <w:bCs/>
                <w:color w:val="auto"/>
                <w:sz w:val="21"/>
                <w:szCs w:val="21"/>
                <w:highlight w:val="none"/>
              </w:rPr>
              <w:t>专项法律服务方案及对项目的理解评分</w:t>
            </w:r>
          </w:p>
          <w:p w14:paraId="434A5D0F">
            <w:pPr>
              <w:spacing w:line="360" w:lineRule="auto"/>
              <w:jc w:val="center"/>
              <w:rPr>
                <w:rFonts w:hint="eastAsia" w:ascii="宋体" w:hAnsi="宋体"/>
                <w:b/>
                <w:bCs/>
                <w:color w:val="auto"/>
                <w:sz w:val="21"/>
                <w:szCs w:val="21"/>
                <w:highlight w:val="none"/>
              </w:rPr>
            </w:pPr>
            <w:r>
              <w:rPr>
                <w:rFonts w:hint="eastAsia" w:ascii="宋体" w:hAnsi="宋体"/>
                <w:b/>
                <w:bCs/>
                <w:color w:val="auto"/>
                <w:sz w:val="21"/>
                <w:szCs w:val="21"/>
                <w:highlight w:val="none"/>
              </w:rPr>
              <w:t>（满分40分）</w:t>
            </w:r>
          </w:p>
        </w:tc>
        <w:tc>
          <w:tcPr>
            <w:tcW w:w="5812" w:type="dxa"/>
            <w:tcBorders>
              <w:top w:val="single" w:color="auto" w:sz="4" w:space="0"/>
              <w:left w:val="single" w:color="auto" w:sz="4" w:space="0"/>
              <w:right w:val="single" w:color="auto" w:sz="4" w:space="0"/>
            </w:tcBorders>
            <w:vAlign w:val="center"/>
          </w:tcPr>
          <w:p w14:paraId="16E0D421">
            <w:pPr>
              <w:autoSpaceDE w:val="0"/>
              <w:autoSpaceDN w:val="0"/>
              <w:adjustRightInd w:val="0"/>
              <w:spacing w:line="360" w:lineRule="auto"/>
              <w:jc w:val="both"/>
              <w:rPr>
                <w:rFonts w:hint="eastAsia" w:ascii="宋体" w:hAnsi="宋体"/>
                <w:color w:val="auto"/>
                <w:sz w:val="21"/>
                <w:szCs w:val="21"/>
                <w:highlight w:val="none"/>
              </w:rPr>
            </w:pPr>
            <w:r>
              <w:rPr>
                <w:color w:val="auto"/>
                <w:sz w:val="21"/>
                <w:szCs w:val="21"/>
                <w:highlight w:val="none"/>
              </w:rPr>
              <w:t>（1）专项法律服务方案对项目背景、法律特征与风险点的理解准确、深入，服务内容覆盖全面，各专项模块安排科学合理、具备针对性，表达清楚、思路清晰且切实可行的得27-40分；</w:t>
            </w:r>
          </w:p>
          <w:p w14:paraId="4A36BAFF">
            <w:pPr>
              <w:autoSpaceDE w:val="0"/>
              <w:autoSpaceDN w:val="0"/>
              <w:adjustRightInd w:val="0"/>
              <w:spacing w:line="360" w:lineRule="auto"/>
              <w:jc w:val="both"/>
              <w:rPr>
                <w:rFonts w:hint="eastAsia" w:ascii="宋体" w:hAnsi="宋体"/>
                <w:color w:val="auto"/>
                <w:sz w:val="21"/>
                <w:szCs w:val="21"/>
                <w:highlight w:val="none"/>
              </w:rPr>
            </w:pPr>
            <w:r>
              <w:rPr>
                <w:color w:val="auto"/>
                <w:sz w:val="21"/>
                <w:szCs w:val="21"/>
                <w:highlight w:val="none"/>
              </w:rPr>
              <w:t>（2）专项法律服务方案对项目背景、法律特征与风险点的理解基本准确，服务内容覆盖较全，针对性一般的得14-26分；</w:t>
            </w:r>
          </w:p>
          <w:p w14:paraId="30B0ADA4">
            <w:pPr>
              <w:autoSpaceDE w:val="0"/>
              <w:autoSpaceDN w:val="0"/>
              <w:adjustRightInd w:val="0"/>
              <w:spacing w:line="360" w:lineRule="auto"/>
              <w:jc w:val="both"/>
              <w:rPr>
                <w:rFonts w:hint="eastAsia" w:ascii="宋体" w:hAnsi="宋体"/>
                <w:color w:val="auto"/>
                <w:sz w:val="21"/>
                <w:szCs w:val="21"/>
                <w:highlight w:val="none"/>
              </w:rPr>
            </w:pPr>
            <w:r>
              <w:rPr>
                <w:color w:val="auto"/>
                <w:sz w:val="21"/>
                <w:szCs w:val="21"/>
                <w:highlight w:val="none"/>
              </w:rPr>
              <w:t>（3）有专项法律服务方案，但针对性较差，存在逻辑矛盾或不符合项目实际情况的得1-13分；</w:t>
            </w:r>
          </w:p>
          <w:p w14:paraId="050240BA">
            <w:pPr>
              <w:autoSpaceDE w:val="0"/>
              <w:autoSpaceDN w:val="0"/>
              <w:adjustRightInd w:val="0"/>
              <w:spacing w:line="360" w:lineRule="auto"/>
              <w:jc w:val="both"/>
              <w:rPr>
                <w:color w:val="auto"/>
                <w:sz w:val="21"/>
                <w:szCs w:val="21"/>
                <w:highlight w:val="none"/>
              </w:rPr>
            </w:pPr>
            <w:r>
              <w:rPr>
                <w:color w:val="auto"/>
                <w:sz w:val="21"/>
                <w:szCs w:val="21"/>
                <w:highlight w:val="none"/>
              </w:rPr>
              <w:t>（4）无专项法律服务方案的不得分。</w:t>
            </w:r>
          </w:p>
        </w:tc>
      </w:tr>
      <w:tr w14:paraId="3CB35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959" w:type="dxa"/>
            <w:vMerge w:val="continue"/>
            <w:tcBorders>
              <w:left w:val="single" w:color="auto" w:sz="4" w:space="0"/>
              <w:right w:val="single" w:color="auto" w:sz="4" w:space="0"/>
            </w:tcBorders>
            <w:vAlign w:val="center"/>
          </w:tcPr>
          <w:p w14:paraId="56886632">
            <w:pPr>
              <w:autoSpaceDE w:val="0"/>
              <w:autoSpaceDN w:val="0"/>
              <w:adjustRightInd w:val="0"/>
              <w:spacing w:line="360" w:lineRule="auto"/>
              <w:jc w:val="center"/>
              <w:rPr>
                <w:rFonts w:hint="eastAsia" w:ascii="宋体" w:hAnsi="宋体"/>
                <w:color w:val="auto"/>
                <w:sz w:val="21"/>
                <w:szCs w:val="21"/>
                <w:highlight w:val="none"/>
              </w:rPr>
            </w:pPr>
          </w:p>
        </w:tc>
        <w:tc>
          <w:tcPr>
            <w:tcW w:w="1134" w:type="dxa"/>
            <w:vMerge w:val="continue"/>
            <w:tcBorders>
              <w:left w:val="single" w:color="auto" w:sz="4" w:space="0"/>
              <w:right w:val="single" w:color="auto" w:sz="4" w:space="0"/>
            </w:tcBorders>
            <w:vAlign w:val="center"/>
          </w:tcPr>
          <w:p w14:paraId="49C56448">
            <w:pPr>
              <w:autoSpaceDE w:val="0"/>
              <w:autoSpaceDN w:val="0"/>
              <w:adjustRightInd w:val="0"/>
              <w:spacing w:line="360" w:lineRule="auto"/>
              <w:jc w:val="center"/>
              <w:rPr>
                <w:rFonts w:hint="eastAsia" w:ascii="宋体" w:hAnsi="宋体"/>
                <w:color w:val="auto"/>
                <w:sz w:val="21"/>
                <w:szCs w:val="21"/>
                <w:highlight w:val="none"/>
              </w:rPr>
            </w:pPr>
          </w:p>
        </w:tc>
        <w:tc>
          <w:tcPr>
            <w:tcW w:w="1701" w:type="dxa"/>
            <w:tcBorders>
              <w:top w:val="single" w:color="auto" w:sz="4" w:space="0"/>
              <w:left w:val="single" w:color="auto" w:sz="4" w:space="0"/>
              <w:right w:val="single" w:color="auto" w:sz="4" w:space="0"/>
            </w:tcBorders>
            <w:vAlign w:val="center"/>
          </w:tcPr>
          <w:p w14:paraId="34A4E903">
            <w:pPr>
              <w:autoSpaceDE w:val="0"/>
              <w:autoSpaceDN w:val="0"/>
              <w:adjustRightInd w:val="0"/>
              <w:spacing w:line="360" w:lineRule="auto"/>
              <w:jc w:val="center"/>
              <w:rPr>
                <w:rFonts w:hint="eastAsia" w:ascii="宋体" w:hAnsi="宋体"/>
                <w:b/>
                <w:bCs/>
                <w:color w:val="auto"/>
                <w:sz w:val="21"/>
                <w:szCs w:val="21"/>
                <w:highlight w:val="none"/>
              </w:rPr>
            </w:pPr>
            <w:r>
              <w:rPr>
                <w:b/>
                <w:bCs/>
                <w:color w:val="auto"/>
                <w:sz w:val="21"/>
                <w:szCs w:val="21"/>
                <w:highlight w:val="none"/>
              </w:rPr>
              <w:t>分阶段工作实施进度计划及承诺</w:t>
            </w:r>
          </w:p>
          <w:p w14:paraId="358BDD2D">
            <w:pPr>
              <w:spacing w:line="360" w:lineRule="auto"/>
              <w:jc w:val="center"/>
              <w:rPr>
                <w:rFonts w:hint="eastAsia" w:ascii="宋体" w:hAnsi="宋体"/>
                <w:b/>
                <w:bCs/>
                <w:color w:val="auto"/>
                <w:sz w:val="21"/>
                <w:szCs w:val="21"/>
                <w:highlight w:val="none"/>
              </w:rPr>
            </w:pPr>
            <w:r>
              <w:rPr>
                <w:rFonts w:hint="eastAsia" w:ascii="宋体" w:hAnsi="宋体"/>
                <w:b/>
                <w:bCs/>
                <w:color w:val="auto"/>
                <w:sz w:val="21"/>
                <w:szCs w:val="21"/>
                <w:highlight w:val="none"/>
              </w:rPr>
              <w:t>（满分10分）</w:t>
            </w:r>
          </w:p>
        </w:tc>
        <w:tc>
          <w:tcPr>
            <w:tcW w:w="5812" w:type="dxa"/>
            <w:tcBorders>
              <w:top w:val="single" w:color="auto" w:sz="4" w:space="0"/>
              <w:left w:val="single" w:color="auto" w:sz="4" w:space="0"/>
              <w:right w:val="single" w:color="auto" w:sz="4" w:space="0"/>
            </w:tcBorders>
          </w:tcPr>
          <w:p w14:paraId="51B0CCF5">
            <w:pPr>
              <w:autoSpaceDE w:val="0"/>
              <w:autoSpaceDN w:val="0"/>
              <w:adjustRightInd w:val="0"/>
              <w:spacing w:line="360" w:lineRule="auto"/>
              <w:jc w:val="both"/>
              <w:rPr>
                <w:rFonts w:hint="eastAsia" w:ascii="宋体" w:hAnsi="宋体"/>
                <w:color w:val="auto"/>
                <w:sz w:val="21"/>
                <w:szCs w:val="21"/>
                <w:highlight w:val="none"/>
              </w:rPr>
            </w:pPr>
            <w:r>
              <w:rPr>
                <w:color w:val="auto"/>
                <w:sz w:val="21"/>
                <w:szCs w:val="21"/>
                <w:highlight w:val="none"/>
              </w:rPr>
              <w:t>（1）分阶段进度承诺满足竞争性磋商文件且具有严格的违约责罚承诺，有进度计划且能保证各阶段节点，进度计划编制完整，程序清晰，安排科学，措施有力，切实可行的得7-10分；</w:t>
            </w:r>
          </w:p>
          <w:p w14:paraId="06B3A308">
            <w:pPr>
              <w:autoSpaceDE w:val="0"/>
              <w:autoSpaceDN w:val="0"/>
              <w:adjustRightInd w:val="0"/>
              <w:spacing w:line="360" w:lineRule="auto"/>
              <w:jc w:val="both"/>
              <w:rPr>
                <w:rFonts w:hint="eastAsia" w:ascii="宋体" w:hAnsi="宋体"/>
                <w:color w:val="auto"/>
                <w:sz w:val="21"/>
                <w:szCs w:val="21"/>
                <w:highlight w:val="none"/>
              </w:rPr>
            </w:pPr>
            <w:r>
              <w:rPr>
                <w:color w:val="auto"/>
                <w:sz w:val="21"/>
                <w:szCs w:val="21"/>
                <w:highlight w:val="none"/>
              </w:rPr>
              <w:t>（2）分阶段进度承诺满足竞争性磋商文件且有奖罚条件和有进度计划，但有错误，进度计划编制完整，程序清晰，安排基本合理，有一定措施的得4-6分；</w:t>
            </w:r>
          </w:p>
          <w:p w14:paraId="34821D15">
            <w:pPr>
              <w:snapToGrid w:val="0"/>
              <w:spacing w:line="360" w:lineRule="auto"/>
              <w:ind w:leftChars="-22" w:hanging="46" w:hangingChars="22"/>
              <w:rPr>
                <w:rFonts w:hint="eastAsia" w:ascii="宋体" w:hAnsi="宋体"/>
                <w:color w:val="auto"/>
                <w:sz w:val="21"/>
                <w:szCs w:val="21"/>
                <w:highlight w:val="none"/>
              </w:rPr>
            </w:pPr>
            <w:r>
              <w:rPr>
                <w:color w:val="auto"/>
                <w:sz w:val="21"/>
                <w:szCs w:val="21"/>
                <w:highlight w:val="none"/>
              </w:rPr>
              <w:t>（3）进度计划编制有一定缺陷，程序基本清晰，安排基本合理的得1-3分。</w:t>
            </w:r>
          </w:p>
          <w:p w14:paraId="7EA28ACA">
            <w:pPr>
              <w:snapToGrid w:val="0"/>
              <w:spacing w:line="360" w:lineRule="auto"/>
              <w:ind w:left="2" w:leftChars="-22" w:hanging="46" w:hangingChars="22"/>
              <w:rPr>
                <w:rFonts w:hint="eastAsia" w:ascii="宋体" w:hAnsi="宋体" w:cs="仿宋"/>
                <w:color w:val="auto"/>
                <w:sz w:val="21"/>
                <w:szCs w:val="21"/>
                <w:highlight w:val="none"/>
              </w:rPr>
            </w:pPr>
            <w:r>
              <w:rPr>
                <w:rFonts w:hint="eastAsia" w:hAnsi="宋体" w:cs="宋体"/>
                <w:color w:val="auto"/>
                <w:sz w:val="21"/>
                <w:szCs w:val="21"/>
                <w:highlight w:val="none"/>
              </w:rPr>
              <w:t>（4）没有相关内容不得分。</w:t>
            </w:r>
          </w:p>
        </w:tc>
      </w:tr>
      <w:tr w14:paraId="3EF82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959" w:type="dxa"/>
            <w:vMerge w:val="continue"/>
            <w:tcBorders>
              <w:left w:val="single" w:color="auto" w:sz="4" w:space="0"/>
              <w:right w:val="single" w:color="auto" w:sz="4" w:space="0"/>
            </w:tcBorders>
            <w:vAlign w:val="center"/>
          </w:tcPr>
          <w:p w14:paraId="46411DC7">
            <w:pPr>
              <w:autoSpaceDE w:val="0"/>
              <w:autoSpaceDN w:val="0"/>
              <w:adjustRightInd w:val="0"/>
              <w:spacing w:line="360" w:lineRule="auto"/>
              <w:jc w:val="center"/>
              <w:rPr>
                <w:rFonts w:hint="eastAsia" w:ascii="宋体" w:hAnsi="宋体"/>
                <w:color w:val="auto"/>
                <w:sz w:val="21"/>
                <w:szCs w:val="21"/>
                <w:highlight w:val="none"/>
              </w:rPr>
            </w:pPr>
          </w:p>
        </w:tc>
        <w:tc>
          <w:tcPr>
            <w:tcW w:w="1134" w:type="dxa"/>
            <w:vMerge w:val="continue"/>
            <w:tcBorders>
              <w:left w:val="single" w:color="auto" w:sz="4" w:space="0"/>
              <w:right w:val="single" w:color="auto" w:sz="4" w:space="0"/>
            </w:tcBorders>
            <w:vAlign w:val="center"/>
          </w:tcPr>
          <w:p w14:paraId="4B203C1A">
            <w:pPr>
              <w:autoSpaceDE w:val="0"/>
              <w:autoSpaceDN w:val="0"/>
              <w:adjustRightInd w:val="0"/>
              <w:spacing w:line="360" w:lineRule="auto"/>
              <w:jc w:val="center"/>
              <w:rPr>
                <w:rFonts w:hint="eastAsia" w:ascii="宋体" w:hAnsi="宋体"/>
                <w:color w:val="auto"/>
                <w:sz w:val="21"/>
                <w:szCs w:val="21"/>
                <w:highlight w:val="none"/>
              </w:rPr>
            </w:pPr>
          </w:p>
        </w:tc>
        <w:tc>
          <w:tcPr>
            <w:tcW w:w="1701" w:type="dxa"/>
            <w:tcBorders>
              <w:top w:val="single" w:color="auto" w:sz="4" w:space="0"/>
              <w:left w:val="single" w:color="auto" w:sz="4" w:space="0"/>
              <w:right w:val="single" w:color="auto" w:sz="4" w:space="0"/>
            </w:tcBorders>
            <w:vAlign w:val="center"/>
          </w:tcPr>
          <w:p w14:paraId="2EAE7EFF">
            <w:pPr>
              <w:autoSpaceDE w:val="0"/>
              <w:autoSpaceDN w:val="0"/>
              <w:adjustRightInd w:val="0"/>
              <w:spacing w:line="360" w:lineRule="auto"/>
              <w:jc w:val="center"/>
              <w:rPr>
                <w:rFonts w:hint="eastAsia" w:ascii="宋体" w:hAnsi="宋体"/>
                <w:b/>
                <w:bCs/>
                <w:color w:val="auto"/>
                <w:sz w:val="21"/>
                <w:szCs w:val="21"/>
                <w:highlight w:val="none"/>
              </w:rPr>
            </w:pPr>
            <w:r>
              <w:rPr>
                <w:rFonts w:hint="eastAsia" w:ascii="宋体" w:hAnsi="宋体"/>
                <w:b/>
                <w:bCs/>
                <w:color w:val="auto"/>
                <w:sz w:val="21"/>
                <w:szCs w:val="21"/>
                <w:highlight w:val="none"/>
              </w:rPr>
              <w:t>质量保证措施及承诺</w:t>
            </w:r>
          </w:p>
          <w:p w14:paraId="774AD666">
            <w:pPr>
              <w:spacing w:line="360" w:lineRule="auto"/>
              <w:jc w:val="center"/>
              <w:rPr>
                <w:rFonts w:hint="eastAsia" w:ascii="宋体" w:hAnsi="宋体"/>
                <w:b/>
                <w:bCs/>
                <w:color w:val="auto"/>
                <w:sz w:val="21"/>
                <w:szCs w:val="21"/>
                <w:highlight w:val="none"/>
              </w:rPr>
            </w:pPr>
            <w:r>
              <w:rPr>
                <w:rFonts w:hint="eastAsia" w:ascii="宋体" w:hAnsi="宋体"/>
                <w:b/>
                <w:bCs/>
                <w:color w:val="auto"/>
                <w:sz w:val="21"/>
                <w:szCs w:val="21"/>
                <w:highlight w:val="none"/>
              </w:rPr>
              <w:t>（满分10分）</w:t>
            </w:r>
          </w:p>
        </w:tc>
        <w:tc>
          <w:tcPr>
            <w:tcW w:w="5812" w:type="dxa"/>
            <w:tcBorders>
              <w:top w:val="single" w:color="auto" w:sz="4" w:space="0"/>
              <w:left w:val="single" w:color="auto" w:sz="4" w:space="0"/>
              <w:right w:val="single" w:color="auto" w:sz="4" w:space="0"/>
            </w:tcBorders>
            <w:vAlign w:val="center"/>
          </w:tcPr>
          <w:p w14:paraId="0D0FF820">
            <w:pPr>
              <w:autoSpaceDE w:val="0"/>
              <w:autoSpaceDN w:val="0"/>
              <w:adjustRightInd w:val="0"/>
              <w:spacing w:line="360" w:lineRule="auto"/>
              <w:jc w:val="both"/>
              <w:rPr>
                <w:rFonts w:hint="eastAsia" w:ascii="宋体" w:hAnsi="宋体"/>
                <w:color w:val="auto"/>
                <w:sz w:val="21"/>
                <w:szCs w:val="21"/>
                <w:highlight w:val="none"/>
              </w:rPr>
            </w:pPr>
            <w:r>
              <w:rPr>
                <w:color w:val="auto"/>
                <w:sz w:val="21"/>
                <w:szCs w:val="21"/>
                <w:highlight w:val="none"/>
              </w:rPr>
              <w:t>（1）质量承诺能较好的满足竞争性磋商文件要求，法律服务成果质量保证措施（如法律意见书两审、重大事项集体论证等）完善、可行的得7-10分；</w:t>
            </w:r>
          </w:p>
          <w:p w14:paraId="38AE9AD9">
            <w:pPr>
              <w:autoSpaceDE w:val="0"/>
              <w:autoSpaceDN w:val="0"/>
              <w:adjustRightInd w:val="0"/>
              <w:spacing w:line="360" w:lineRule="auto"/>
              <w:jc w:val="both"/>
              <w:rPr>
                <w:rFonts w:hint="eastAsia" w:ascii="宋体" w:hAnsi="宋体"/>
                <w:color w:val="auto"/>
                <w:sz w:val="21"/>
                <w:szCs w:val="21"/>
                <w:highlight w:val="none"/>
              </w:rPr>
            </w:pPr>
            <w:r>
              <w:rPr>
                <w:rFonts w:hint="eastAsia" w:ascii="宋体" w:hAnsi="宋体"/>
                <w:color w:val="auto"/>
                <w:sz w:val="21"/>
                <w:szCs w:val="21"/>
                <w:highlight w:val="none"/>
              </w:rPr>
              <w:t>（2）质量承诺满足竞争性磋商文件要求，但较一般，质量保证措施基本完善、基本可行的得4-6分；</w:t>
            </w:r>
          </w:p>
          <w:p w14:paraId="1D774BA7">
            <w:pPr>
              <w:snapToGrid w:val="0"/>
              <w:spacing w:line="360" w:lineRule="auto"/>
              <w:ind w:left="2" w:leftChars="-22" w:hanging="46" w:hangingChars="22"/>
              <w:rPr>
                <w:rFonts w:hint="eastAsia" w:ascii="宋体" w:hAnsi="宋体"/>
                <w:color w:val="auto"/>
                <w:sz w:val="21"/>
                <w:szCs w:val="21"/>
                <w:highlight w:val="none"/>
              </w:rPr>
            </w:pPr>
            <w:r>
              <w:rPr>
                <w:rFonts w:hint="eastAsia" w:ascii="宋体" w:hAnsi="宋体"/>
                <w:color w:val="auto"/>
                <w:sz w:val="21"/>
                <w:szCs w:val="21"/>
                <w:highlight w:val="none"/>
              </w:rPr>
              <w:t>（3）设计质量承诺满足竞争性磋商文件要求，但较差，质量保证措施不完善的得1-3分。</w:t>
            </w:r>
          </w:p>
          <w:p w14:paraId="049E10D3">
            <w:pPr>
              <w:snapToGrid w:val="0"/>
              <w:spacing w:line="360" w:lineRule="auto"/>
              <w:ind w:left="2" w:leftChars="-22" w:hanging="46" w:hangingChars="22"/>
              <w:rPr>
                <w:rFonts w:hint="eastAsia" w:ascii="宋体" w:hAnsi="宋体" w:cs="仿宋"/>
                <w:color w:val="auto"/>
                <w:sz w:val="21"/>
                <w:szCs w:val="21"/>
                <w:highlight w:val="none"/>
              </w:rPr>
            </w:pPr>
            <w:r>
              <w:rPr>
                <w:rFonts w:hint="eastAsia" w:hAnsi="宋体" w:cs="宋体"/>
                <w:color w:val="auto"/>
                <w:sz w:val="21"/>
                <w:szCs w:val="21"/>
                <w:highlight w:val="none"/>
              </w:rPr>
              <w:t>（4）没有相关内容不得分。</w:t>
            </w:r>
          </w:p>
        </w:tc>
      </w:tr>
      <w:tr w14:paraId="52773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59" w:type="dxa"/>
            <w:vMerge w:val="continue"/>
            <w:tcBorders>
              <w:left w:val="single" w:color="auto" w:sz="4" w:space="0"/>
              <w:right w:val="single" w:color="auto" w:sz="4" w:space="0"/>
            </w:tcBorders>
            <w:vAlign w:val="center"/>
          </w:tcPr>
          <w:p w14:paraId="51533160">
            <w:pPr>
              <w:autoSpaceDE w:val="0"/>
              <w:autoSpaceDN w:val="0"/>
              <w:adjustRightInd w:val="0"/>
              <w:spacing w:line="360" w:lineRule="auto"/>
              <w:jc w:val="center"/>
              <w:rPr>
                <w:rFonts w:hint="eastAsia" w:ascii="宋体" w:hAnsi="宋体"/>
                <w:color w:val="auto"/>
                <w:sz w:val="21"/>
                <w:szCs w:val="21"/>
                <w:highlight w:val="none"/>
              </w:rPr>
            </w:pPr>
          </w:p>
        </w:tc>
        <w:tc>
          <w:tcPr>
            <w:tcW w:w="1134" w:type="dxa"/>
            <w:vMerge w:val="continue"/>
            <w:tcBorders>
              <w:left w:val="single" w:color="auto" w:sz="4" w:space="0"/>
              <w:right w:val="single" w:color="auto" w:sz="4" w:space="0"/>
            </w:tcBorders>
            <w:vAlign w:val="center"/>
          </w:tcPr>
          <w:p w14:paraId="7F9A0165">
            <w:pPr>
              <w:autoSpaceDE w:val="0"/>
              <w:autoSpaceDN w:val="0"/>
              <w:adjustRightInd w:val="0"/>
              <w:spacing w:line="360" w:lineRule="auto"/>
              <w:jc w:val="center"/>
              <w:rPr>
                <w:rFonts w:hint="eastAsia" w:ascii="宋体" w:hAnsi="宋体"/>
                <w:color w:val="auto"/>
                <w:sz w:val="21"/>
                <w:szCs w:val="21"/>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14:paraId="52347182">
            <w:pPr>
              <w:autoSpaceDE w:val="0"/>
              <w:autoSpaceDN w:val="0"/>
              <w:adjustRightInd w:val="0"/>
              <w:spacing w:line="360" w:lineRule="auto"/>
              <w:jc w:val="center"/>
              <w:rPr>
                <w:rFonts w:hint="eastAsia" w:ascii="宋体" w:hAnsi="宋体"/>
                <w:b/>
                <w:bCs/>
                <w:color w:val="auto"/>
                <w:sz w:val="21"/>
                <w:szCs w:val="21"/>
                <w:highlight w:val="none"/>
              </w:rPr>
            </w:pPr>
            <w:r>
              <w:rPr>
                <w:b/>
                <w:bCs/>
                <w:color w:val="auto"/>
                <w:sz w:val="21"/>
                <w:szCs w:val="21"/>
                <w:highlight w:val="none"/>
              </w:rPr>
              <w:t>后续服务工作安排及承诺</w:t>
            </w:r>
          </w:p>
          <w:p w14:paraId="40F35EC5">
            <w:pPr>
              <w:spacing w:line="360" w:lineRule="auto"/>
              <w:jc w:val="center"/>
              <w:rPr>
                <w:rFonts w:hint="eastAsia" w:ascii="宋体" w:hAnsi="宋体"/>
                <w:b/>
                <w:bCs/>
                <w:color w:val="auto"/>
                <w:sz w:val="21"/>
                <w:szCs w:val="21"/>
                <w:highlight w:val="none"/>
              </w:rPr>
            </w:pPr>
            <w:r>
              <w:rPr>
                <w:rFonts w:hint="eastAsia" w:ascii="宋体" w:hAnsi="宋体"/>
                <w:b/>
                <w:bCs/>
                <w:color w:val="auto"/>
                <w:sz w:val="21"/>
                <w:szCs w:val="21"/>
                <w:highlight w:val="none"/>
              </w:rPr>
              <w:t>（满分10分）</w:t>
            </w:r>
          </w:p>
        </w:tc>
        <w:tc>
          <w:tcPr>
            <w:tcW w:w="5812" w:type="dxa"/>
            <w:tcBorders>
              <w:left w:val="single" w:color="auto" w:sz="4" w:space="0"/>
              <w:right w:val="single" w:color="auto" w:sz="4" w:space="0"/>
            </w:tcBorders>
          </w:tcPr>
          <w:p w14:paraId="53877D89">
            <w:pPr>
              <w:autoSpaceDE w:val="0"/>
              <w:autoSpaceDN w:val="0"/>
              <w:adjustRightInd w:val="0"/>
              <w:spacing w:line="360" w:lineRule="auto"/>
              <w:jc w:val="both"/>
              <w:rPr>
                <w:rFonts w:hint="eastAsia" w:ascii="宋体" w:hAnsi="宋体"/>
                <w:color w:val="auto"/>
                <w:sz w:val="21"/>
                <w:szCs w:val="21"/>
                <w:highlight w:val="none"/>
              </w:rPr>
            </w:pPr>
            <w:r>
              <w:rPr>
                <w:color w:val="auto"/>
                <w:sz w:val="21"/>
                <w:szCs w:val="21"/>
                <w:highlight w:val="none"/>
              </w:rPr>
              <w:t>（1）后续服务工作安排及承诺满足要求，保障有力，措施完善切实可靠的得6-10分；</w:t>
            </w:r>
          </w:p>
          <w:p w14:paraId="0FE7E609">
            <w:pPr>
              <w:autoSpaceDE w:val="0"/>
              <w:autoSpaceDN w:val="0"/>
              <w:adjustRightInd w:val="0"/>
              <w:spacing w:line="360" w:lineRule="auto"/>
              <w:jc w:val="both"/>
              <w:rPr>
                <w:rFonts w:hint="eastAsia" w:ascii="宋体" w:hAnsi="宋体"/>
                <w:color w:val="auto"/>
                <w:sz w:val="21"/>
                <w:szCs w:val="21"/>
                <w:highlight w:val="none"/>
              </w:rPr>
            </w:pPr>
            <w:r>
              <w:rPr>
                <w:color w:val="auto"/>
                <w:sz w:val="21"/>
                <w:szCs w:val="21"/>
                <w:highlight w:val="none"/>
              </w:rPr>
              <w:t>（2）后续服务工作安排及承诺基本满足要求，保障措施基本完善的得1-5分；</w:t>
            </w:r>
          </w:p>
          <w:p w14:paraId="4E70A503">
            <w:pPr>
              <w:snapToGrid w:val="0"/>
              <w:spacing w:line="360" w:lineRule="auto"/>
              <w:ind w:left="2" w:leftChars="-22" w:hanging="46" w:hangingChars="22"/>
              <w:rPr>
                <w:rFonts w:hint="eastAsia" w:ascii="宋体" w:hAnsi="宋体" w:cs="仿宋"/>
                <w:color w:val="auto"/>
                <w:sz w:val="21"/>
                <w:szCs w:val="21"/>
                <w:highlight w:val="none"/>
              </w:rPr>
            </w:pPr>
            <w:r>
              <w:rPr>
                <w:rFonts w:hint="eastAsia" w:ascii="宋体" w:hAnsi="宋体"/>
                <w:color w:val="auto"/>
                <w:sz w:val="21"/>
                <w:szCs w:val="21"/>
                <w:highlight w:val="none"/>
              </w:rPr>
              <w:t>（3）无后续服务工作安排的不得分。</w:t>
            </w:r>
          </w:p>
        </w:tc>
      </w:tr>
      <w:tr w14:paraId="5098B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59" w:type="dxa"/>
            <w:vMerge w:val="continue"/>
            <w:tcBorders>
              <w:left w:val="single" w:color="auto" w:sz="4" w:space="0"/>
              <w:right w:val="single" w:color="auto" w:sz="4" w:space="0"/>
            </w:tcBorders>
            <w:vAlign w:val="center"/>
          </w:tcPr>
          <w:p w14:paraId="41ACBADC">
            <w:pPr>
              <w:autoSpaceDE w:val="0"/>
              <w:autoSpaceDN w:val="0"/>
              <w:adjustRightInd w:val="0"/>
              <w:spacing w:line="360" w:lineRule="auto"/>
              <w:jc w:val="center"/>
              <w:rPr>
                <w:rFonts w:hint="eastAsia" w:ascii="宋体" w:hAnsi="宋体"/>
                <w:color w:val="auto"/>
                <w:sz w:val="21"/>
                <w:szCs w:val="21"/>
                <w:highlight w:val="none"/>
              </w:rPr>
            </w:pPr>
          </w:p>
        </w:tc>
        <w:tc>
          <w:tcPr>
            <w:tcW w:w="1134" w:type="dxa"/>
            <w:vMerge w:val="continue"/>
            <w:tcBorders>
              <w:left w:val="single" w:color="auto" w:sz="4" w:space="0"/>
              <w:right w:val="single" w:color="auto" w:sz="4" w:space="0"/>
            </w:tcBorders>
            <w:vAlign w:val="center"/>
          </w:tcPr>
          <w:p w14:paraId="1A89651D">
            <w:pPr>
              <w:autoSpaceDE w:val="0"/>
              <w:autoSpaceDN w:val="0"/>
              <w:adjustRightInd w:val="0"/>
              <w:spacing w:line="360" w:lineRule="auto"/>
              <w:jc w:val="center"/>
              <w:rPr>
                <w:rFonts w:hint="eastAsia" w:ascii="宋体" w:hAnsi="宋体"/>
                <w:color w:val="auto"/>
                <w:sz w:val="21"/>
                <w:szCs w:val="21"/>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14:paraId="23F8BF30">
            <w:pPr>
              <w:autoSpaceDE w:val="0"/>
              <w:autoSpaceDN w:val="0"/>
              <w:adjustRightInd w:val="0"/>
              <w:spacing w:line="360" w:lineRule="auto"/>
              <w:jc w:val="center"/>
              <w:rPr>
                <w:rFonts w:hint="eastAsia" w:ascii="宋体" w:hAnsi="宋体"/>
                <w:b/>
                <w:bCs/>
                <w:color w:val="auto"/>
                <w:sz w:val="21"/>
                <w:szCs w:val="21"/>
                <w:highlight w:val="none"/>
              </w:rPr>
            </w:pPr>
            <w:r>
              <w:rPr>
                <w:b/>
                <w:bCs/>
                <w:color w:val="auto"/>
                <w:sz w:val="21"/>
                <w:szCs w:val="21"/>
                <w:highlight w:val="none"/>
              </w:rPr>
              <w:t>拟派项目组人员配置</w:t>
            </w:r>
          </w:p>
          <w:p w14:paraId="18CB4A04">
            <w:pPr>
              <w:autoSpaceDE w:val="0"/>
              <w:autoSpaceDN w:val="0"/>
              <w:adjustRightInd w:val="0"/>
              <w:spacing w:line="360" w:lineRule="auto"/>
              <w:jc w:val="center"/>
              <w:rPr>
                <w:rFonts w:hint="eastAsia" w:ascii="宋体" w:hAnsi="宋体"/>
                <w:b/>
                <w:bCs/>
                <w:color w:val="auto"/>
                <w:sz w:val="21"/>
                <w:szCs w:val="21"/>
                <w:highlight w:val="none"/>
              </w:rPr>
            </w:pPr>
            <w:r>
              <w:rPr>
                <w:rFonts w:hint="eastAsia" w:ascii="宋体" w:hAnsi="宋体"/>
                <w:b/>
                <w:bCs/>
                <w:color w:val="auto"/>
                <w:sz w:val="21"/>
                <w:szCs w:val="21"/>
                <w:highlight w:val="none"/>
              </w:rPr>
              <w:t>（满分10分）</w:t>
            </w:r>
          </w:p>
        </w:tc>
        <w:tc>
          <w:tcPr>
            <w:tcW w:w="5812" w:type="dxa"/>
            <w:tcBorders>
              <w:left w:val="single" w:color="auto" w:sz="4" w:space="0"/>
              <w:right w:val="single" w:color="auto" w:sz="4" w:space="0"/>
            </w:tcBorders>
            <w:vAlign w:val="center"/>
          </w:tcPr>
          <w:p w14:paraId="49E32A0F">
            <w:pPr>
              <w:autoSpaceDE w:val="0"/>
              <w:autoSpaceDN w:val="0"/>
              <w:adjustRightInd w:val="0"/>
              <w:spacing w:line="360" w:lineRule="auto"/>
              <w:jc w:val="both"/>
              <w:rPr>
                <w:rFonts w:hint="eastAsia" w:ascii="宋体" w:hAnsi="宋体"/>
                <w:color w:val="auto"/>
                <w:sz w:val="21"/>
                <w:szCs w:val="21"/>
                <w:highlight w:val="none"/>
              </w:rPr>
            </w:pPr>
            <w:r>
              <w:rPr>
                <w:color w:val="auto"/>
                <w:sz w:val="21"/>
                <w:szCs w:val="21"/>
                <w:highlight w:val="none"/>
              </w:rPr>
              <w:t>（1）拟派项目组人员配置合理齐全，项目负责人及主办、辅办律师专业搭配符合本项目（国资、文旅、投融资等）需要，组织管理体系完善，针对性强，有科学严谨的管理程序的得7-10分；</w:t>
            </w:r>
          </w:p>
          <w:p w14:paraId="2AD15A8A">
            <w:pPr>
              <w:autoSpaceDE w:val="0"/>
              <w:autoSpaceDN w:val="0"/>
              <w:adjustRightInd w:val="0"/>
              <w:spacing w:line="360" w:lineRule="auto"/>
              <w:jc w:val="both"/>
              <w:rPr>
                <w:rFonts w:hint="eastAsia" w:ascii="宋体" w:hAnsi="宋体"/>
                <w:color w:val="auto"/>
                <w:sz w:val="21"/>
                <w:szCs w:val="21"/>
                <w:highlight w:val="none"/>
              </w:rPr>
            </w:pPr>
            <w:r>
              <w:rPr>
                <w:color w:val="auto"/>
                <w:sz w:val="21"/>
                <w:szCs w:val="21"/>
                <w:highlight w:val="none"/>
              </w:rPr>
              <w:t>（2）拟派项目组人员配置基本合理，项目负责人及主要人员专业配置基本满足本项目需要，组织管理体系较完善，有针对性，有管理程序的得4-6分；</w:t>
            </w:r>
          </w:p>
          <w:p w14:paraId="3C8B38D9">
            <w:pPr>
              <w:autoSpaceDE w:val="0"/>
              <w:autoSpaceDN w:val="0"/>
              <w:adjustRightInd w:val="0"/>
              <w:spacing w:line="360" w:lineRule="auto"/>
              <w:jc w:val="both"/>
              <w:rPr>
                <w:rFonts w:hint="eastAsia" w:ascii="宋体" w:hAnsi="宋体"/>
                <w:color w:val="auto"/>
                <w:sz w:val="21"/>
                <w:szCs w:val="21"/>
                <w:highlight w:val="none"/>
              </w:rPr>
            </w:pPr>
            <w:r>
              <w:rPr>
                <w:color w:val="auto"/>
                <w:sz w:val="21"/>
                <w:szCs w:val="21"/>
                <w:highlight w:val="none"/>
              </w:rPr>
              <w:t>（3）拟派项目组人员配置有疏漏，组织管理体系不完善，管理程序不清晰的得1-3分。</w:t>
            </w:r>
          </w:p>
          <w:p w14:paraId="4410B912">
            <w:pPr>
              <w:autoSpaceDE w:val="0"/>
              <w:autoSpaceDN w:val="0"/>
              <w:adjustRightInd w:val="0"/>
              <w:spacing w:line="360" w:lineRule="auto"/>
              <w:jc w:val="both"/>
              <w:rPr>
                <w:rFonts w:hint="eastAsia" w:ascii="宋体" w:hAnsi="宋体"/>
                <w:color w:val="auto"/>
                <w:sz w:val="21"/>
                <w:szCs w:val="21"/>
                <w:highlight w:val="none"/>
              </w:rPr>
            </w:pPr>
            <w:r>
              <w:rPr>
                <w:rFonts w:hint="eastAsia" w:hAnsi="宋体" w:cs="宋体"/>
                <w:color w:val="auto"/>
                <w:sz w:val="21"/>
                <w:szCs w:val="21"/>
                <w:highlight w:val="none"/>
              </w:rPr>
              <w:t>（4）没有相关内容不得分。</w:t>
            </w:r>
          </w:p>
        </w:tc>
      </w:tr>
      <w:tr w14:paraId="789B3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59" w:type="dxa"/>
            <w:vMerge w:val="continue"/>
            <w:tcBorders>
              <w:left w:val="single" w:color="auto" w:sz="4" w:space="0"/>
              <w:right w:val="single" w:color="auto" w:sz="4" w:space="0"/>
            </w:tcBorders>
            <w:vAlign w:val="center"/>
          </w:tcPr>
          <w:p w14:paraId="0CF2326D">
            <w:pPr>
              <w:autoSpaceDE w:val="0"/>
              <w:autoSpaceDN w:val="0"/>
              <w:adjustRightInd w:val="0"/>
              <w:spacing w:line="360" w:lineRule="auto"/>
              <w:jc w:val="center"/>
              <w:rPr>
                <w:rFonts w:hint="eastAsia" w:ascii="宋体" w:hAnsi="宋体"/>
                <w:color w:val="auto"/>
                <w:sz w:val="21"/>
                <w:szCs w:val="21"/>
                <w:highlight w:val="none"/>
              </w:rPr>
            </w:pPr>
          </w:p>
        </w:tc>
        <w:tc>
          <w:tcPr>
            <w:tcW w:w="1134" w:type="dxa"/>
            <w:vMerge w:val="continue"/>
            <w:tcBorders>
              <w:left w:val="single" w:color="auto" w:sz="4" w:space="0"/>
              <w:right w:val="single" w:color="auto" w:sz="4" w:space="0"/>
            </w:tcBorders>
            <w:vAlign w:val="center"/>
          </w:tcPr>
          <w:p w14:paraId="42853373">
            <w:pPr>
              <w:autoSpaceDE w:val="0"/>
              <w:autoSpaceDN w:val="0"/>
              <w:adjustRightInd w:val="0"/>
              <w:spacing w:line="360" w:lineRule="auto"/>
              <w:jc w:val="center"/>
              <w:rPr>
                <w:rFonts w:hint="eastAsia" w:ascii="宋体" w:hAnsi="宋体"/>
                <w:color w:val="auto"/>
                <w:sz w:val="21"/>
                <w:szCs w:val="21"/>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14:paraId="0B1390EE">
            <w:pPr>
              <w:autoSpaceDE w:val="0"/>
              <w:autoSpaceDN w:val="0"/>
              <w:adjustRightInd w:val="0"/>
              <w:spacing w:line="360" w:lineRule="auto"/>
              <w:jc w:val="center"/>
              <w:rPr>
                <w:rFonts w:hint="eastAsia" w:ascii="宋体" w:hAnsi="宋体"/>
                <w:b/>
                <w:bCs/>
                <w:color w:val="auto"/>
                <w:sz w:val="21"/>
                <w:szCs w:val="21"/>
                <w:highlight w:val="none"/>
              </w:rPr>
            </w:pPr>
            <w:r>
              <w:rPr>
                <w:rFonts w:hint="eastAsia" w:hAnsi="宋体" w:cs="宋体"/>
                <w:b/>
                <w:bCs/>
                <w:color w:val="auto"/>
                <w:sz w:val="21"/>
                <w:szCs w:val="21"/>
                <w:highlight w:val="none"/>
              </w:rPr>
              <w:t>项目风险预测与防范措施（10分）</w:t>
            </w:r>
          </w:p>
        </w:tc>
        <w:tc>
          <w:tcPr>
            <w:tcW w:w="5812" w:type="dxa"/>
            <w:tcBorders>
              <w:left w:val="single" w:color="auto" w:sz="4" w:space="0"/>
              <w:right w:val="single" w:color="auto" w:sz="4" w:space="0"/>
            </w:tcBorders>
            <w:vAlign w:val="center"/>
          </w:tcPr>
          <w:p w14:paraId="08ABBF40">
            <w:pPr>
              <w:autoSpaceDE w:val="0"/>
              <w:autoSpaceDN w:val="0"/>
              <w:adjustRightInd w:val="0"/>
              <w:spacing w:line="360" w:lineRule="auto"/>
              <w:jc w:val="both"/>
              <w:rPr>
                <w:rFonts w:hint="eastAsia" w:hAnsi="宋体" w:cs="宋体"/>
                <w:color w:val="auto"/>
                <w:sz w:val="21"/>
                <w:szCs w:val="21"/>
                <w:highlight w:val="none"/>
              </w:rPr>
            </w:pPr>
            <w:r>
              <w:rPr>
                <w:color w:val="auto"/>
                <w:sz w:val="21"/>
                <w:szCs w:val="21"/>
                <w:highlight w:val="none"/>
              </w:rPr>
              <w:t>（1）对专项法律服务过程及项目本身可能发生的法律风险（如人员安置、国有资产流失、程序合规、融资穿透等）有所预测，有具体的预防措施、应急预案，内容详细，措施及预案切实可行，防范效果综合评价良好的得8-10分；</w:t>
            </w:r>
          </w:p>
          <w:p w14:paraId="3FD4A3FC">
            <w:pPr>
              <w:autoSpaceDE w:val="0"/>
              <w:autoSpaceDN w:val="0"/>
              <w:adjustRightInd w:val="0"/>
              <w:spacing w:line="360" w:lineRule="auto"/>
              <w:jc w:val="both"/>
              <w:rPr>
                <w:rFonts w:hint="eastAsia" w:hAnsi="宋体" w:cs="宋体"/>
                <w:color w:val="auto"/>
                <w:sz w:val="21"/>
                <w:szCs w:val="21"/>
                <w:highlight w:val="none"/>
              </w:rPr>
            </w:pPr>
            <w:r>
              <w:rPr>
                <w:color w:val="auto"/>
                <w:sz w:val="21"/>
                <w:szCs w:val="21"/>
                <w:highlight w:val="none"/>
              </w:rPr>
              <w:t>（2）对项目可能发生的法律风险有所预测，有预防措施、应急预案，内容较详细，措施及预案基本可行，防范效果综合评价一般的得5-7分；</w:t>
            </w:r>
          </w:p>
          <w:p w14:paraId="5BA3DB0E">
            <w:pPr>
              <w:autoSpaceDE w:val="0"/>
              <w:autoSpaceDN w:val="0"/>
              <w:adjustRightInd w:val="0"/>
              <w:spacing w:line="360" w:lineRule="auto"/>
              <w:jc w:val="both"/>
              <w:rPr>
                <w:rFonts w:hint="eastAsia" w:hAnsi="宋体" w:cs="宋体"/>
                <w:color w:val="auto"/>
                <w:sz w:val="21"/>
                <w:szCs w:val="21"/>
                <w:highlight w:val="none"/>
              </w:rPr>
            </w:pPr>
            <w:r>
              <w:rPr>
                <w:color w:val="auto"/>
                <w:sz w:val="21"/>
                <w:szCs w:val="21"/>
                <w:highlight w:val="none"/>
              </w:rPr>
              <w:t>（3）对项目可能发生的法律风险有所预测，有预防措施、应急预案，内容不够详细，措施及预案可行性较差，防范效果综合评价较差的得1-4分；</w:t>
            </w:r>
          </w:p>
          <w:p w14:paraId="38178021">
            <w:pPr>
              <w:autoSpaceDE w:val="0"/>
              <w:autoSpaceDN w:val="0"/>
              <w:adjustRightInd w:val="0"/>
              <w:spacing w:line="360" w:lineRule="auto"/>
              <w:jc w:val="both"/>
              <w:rPr>
                <w:rFonts w:hint="eastAsia" w:ascii="宋体" w:hAnsi="宋体" w:cs="仿宋"/>
                <w:color w:val="auto"/>
                <w:sz w:val="21"/>
                <w:szCs w:val="21"/>
                <w:highlight w:val="none"/>
              </w:rPr>
            </w:pPr>
            <w:r>
              <w:rPr>
                <w:rFonts w:hint="eastAsia" w:hAnsi="宋体" w:cs="宋体"/>
                <w:color w:val="auto"/>
                <w:sz w:val="21"/>
                <w:szCs w:val="21"/>
                <w:highlight w:val="none"/>
              </w:rPr>
              <w:t>（4）没有相关内容不得分。</w:t>
            </w:r>
          </w:p>
        </w:tc>
      </w:tr>
      <w:bookmarkEnd w:id="40"/>
    </w:tbl>
    <w:p w14:paraId="756E9B94">
      <w:pPr>
        <w:pStyle w:val="5"/>
        <w:spacing w:before="0" w:after="0" w:line="460" w:lineRule="exact"/>
        <w:jc w:val="center"/>
        <w:rPr>
          <w:rFonts w:ascii="Times New Roman" w:hAnsi="Times New Roman"/>
          <w:b w:val="0"/>
          <w:color w:val="auto"/>
          <w:sz w:val="30"/>
          <w:szCs w:val="30"/>
          <w:highlight w:val="none"/>
        </w:rPr>
      </w:pPr>
      <w:r>
        <w:rPr>
          <w:rFonts w:hint="eastAsia" w:ascii="Times New Roman" w:hAnsi="Times New Roman"/>
          <w:b w:val="0"/>
          <w:color w:val="auto"/>
          <w:sz w:val="30"/>
          <w:szCs w:val="30"/>
          <w:highlight w:val="none"/>
        </w:rPr>
        <w:t>一、磋商依据及方法</w:t>
      </w:r>
    </w:p>
    <w:p w14:paraId="2F536870">
      <w:pPr>
        <w:spacing w:line="360" w:lineRule="auto"/>
        <w:ind w:firstLine="420" w:firstLineChars="200"/>
        <w:rPr>
          <w:rFonts w:hint="eastAsia" w:ascii="宋体" w:hAnsi="宋体"/>
          <w:color w:val="auto"/>
          <w:sz w:val="21"/>
          <w:szCs w:val="21"/>
          <w:highlight w:val="none"/>
        </w:rPr>
      </w:pPr>
      <w:r>
        <w:rPr>
          <w:rFonts w:hint="eastAsia" w:ascii="宋体" w:hAnsi="宋体"/>
          <w:color w:val="auto"/>
          <w:sz w:val="21"/>
          <w:szCs w:val="21"/>
          <w:highlight w:val="none"/>
        </w:rPr>
        <w:t>1.1本竞争性磋商项目采用综合评估打分法进行评审，磋商小组对满足竞争性磋商文件实质性要求的《响应文件》按照本章规定的评分标准进行打分，根据供应商最终得分由高到低的顺序推荐成交候选供应商。</w:t>
      </w:r>
      <w:bookmarkStart w:id="41" w:name="_Toc302769234"/>
      <w:bookmarkEnd w:id="41"/>
      <w:bookmarkStart w:id="42" w:name="_Toc302769235"/>
    </w:p>
    <w:bookmarkEnd w:id="42"/>
    <w:p w14:paraId="2DDA6B47">
      <w:pPr>
        <w:adjustRightInd w:val="0"/>
        <w:snapToGrid w:val="0"/>
        <w:spacing w:line="460" w:lineRule="exact"/>
        <w:ind w:firstLine="525" w:firstLineChars="250"/>
        <w:textAlignment w:val="baseline"/>
        <w:rPr>
          <w:rFonts w:hint="eastAsia" w:ascii="宋体" w:hAnsi="宋体"/>
          <w:color w:val="auto"/>
          <w:sz w:val="21"/>
          <w:szCs w:val="21"/>
          <w:highlight w:val="none"/>
        </w:rPr>
      </w:pPr>
      <w:r>
        <w:rPr>
          <w:rFonts w:hint="eastAsia" w:ascii="宋体" w:hAnsi="宋体"/>
          <w:color w:val="auto"/>
          <w:sz w:val="21"/>
          <w:szCs w:val="21"/>
          <w:highlight w:val="none"/>
        </w:rPr>
        <w:t>1.2在招标过程中符合要求的供应商只有2家的，竞争性磋商招标活动可以继续进行。招标过程中符合要求的供应商只有1家的，竞争性磋商招标活动终止，发包人应重新开展招标活动。</w:t>
      </w:r>
    </w:p>
    <w:p w14:paraId="2F524D6C">
      <w:pPr>
        <w:adjustRightInd w:val="0"/>
        <w:snapToGrid w:val="0"/>
        <w:spacing w:line="460" w:lineRule="exact"/>
        <w:ind w:firstLine="525" w:firstLineChars="250"/>
        <w:textAlignment w:val="baseline"/>
        <w:rPr>
          <w:rFonts w:hint="eastAsia" w:ascii="宋体" w:hAnsi="宋体"/>
          <w:color w:val="auto"/>
          <w:sz w:val="21"/>
          <w:szCs w:val="21"/>
          <w:highlight w:val="none"/>
        </w:rPr>
      </w:pPr>
    </w:p>
    <w:p w14:paraId="0370FEC8">
      <w:pPr>
        <w:pStyle w:val="5"/>
        <w:spacing w:before="0" w:after="0" w:line="460" w:lineRule="exact"/>
        <w:jc w:val="center"/>
        <w:rPr>
          <w:rFonts w:ascii="Times New Roman" w:hAnsi="Times New Roman"/>
          <w:b w:val="0"/>
          <w:color w:val="auto"/>
          <w:sz w:val="30"/>
          <w:szCs w:val="30"/>
          <w:highlight w:val="none"/>
        </w:rPr>
      </w:pPr>
      <w:r>
        <w:rPr>
          <w:rFonts w:hint="eastAsia" w:ascii="Times New Roman" w:hAnsi="Times New Roman"/>
          <w:b w:val="0"/>
          <w:color w:val="auto"/>
          <w:sz w:val="30"/>
          <w:szCs w:val="30"/>
          <w:highlight w:val="none"/>
        </w:rPr>
        <w:t>二、磋商程序</w:t>
      </w:r>
    </w:p>
    <w:p w14:paraId="20EAEA44">
      <w:pPr>
        <w:pStyle w:val="699"/>
        <w:adjustRightInd w:val="0"/>
        <w:snapToGrid w:val="0"/>
        <w:spacing w:line="460" w:lineRule="exact"/>
        <w:ind w:firstLine="420" w:firstLineChars="200"/>
        <w:rPr>
          <w:color w:val="auto"/>
          <w:sz w:val="21"/>
          <w:szCs w:val="21"/>
          <w:highlight w:val="none"/>
        </w:rPr>
      </w:pPr>
      <w:bookmarkStart w:id="43" w:name="_Toc75969760"/>
      <w:bookmarkStart w:id="44" w:name="_Toc57900428"/>
      <w:bookmarkStart w:id="45" w:name="_Toc71804677"/>
      <w:bookmarkStart w:id="46" w:name="_Toc81172636"/>
      <w:bookmarkStart w:id="47" w:name="_Toc161407331"/>
      <w:bookmarkStart w:id="48" w:name="_Toc57855112"/>
      <w:bookmarkStart w:id="49" w:name="_Toc243176582"/>
      <w:bookmarkStart w:id="50" w:name="_Toc240288649"/>
      <w:bookmarkStart w:id="51" w:name="_Toc83793860"/>
      <w:r>
        <w:rPr>
          <w:rFonts w:hint="eastAsia"/>
          <w:color w:val="auto"/>
          <w:sz w:val="21"/>
          <w:szCs w:val="21"/>
          <w:highlight w:val="none"/>
        </w:rPr>
        <w:t>2.1磋商会议程序</w:t>
      </w:r>
      <w:bookmarkEnd w:id="43"/>
      <w:bookmarkEnd w:id="44"/>
      <w:bookmarkEnd w:id="45"/>
      <w:bookmarkEnd w:id="46"/>
      <w:bookmarkEnd w:id="47"/>
      <w:bookmarkEnd w:id="48"/>
      <w:bookmarkEnd w:id="49"/>
      <w:bookmarkEnd w:id="50"/>
      <w:bookmarkEnd w:id="51"/>
    </w:p>
    <w:p w14:paraId="6F2A019A">
      <w:pPr>
        <w:adjustRightInd w:val="0"/>
        <w:snapToGrid w:val="0"/>
        <w:spacing w:line="460" w:lineRule="exact"/>
        <w:ind w:firstLine="420" w:firstLineChars="200"/>
        <w:rPr>
          <w:color w:val="auto"/>
          <w:sz w:val="21"/>
          <w:szCs w:val="21"/>
          <w:highlight w:val="none"/>
        </w:rPr>
      </w:pPr>
      <w:r>
        <w:rPr>
          <w:rFonts w:hint="eastAsia"/>
          <w:color w:val="auto"/>
          <w:sz w:val="21"/>
          <w:szCs w:val="21"/>
          <w:highlight w:val="none"/>
        </w:rPr>
        <w:t>磋商小组首先对各竞争性磋商响应文件进行初步审查→磋商小组所有成员集中与通过初步评审（包括资格评审标准、符合性评审标准）的申请人进行详细评审，并要求各供应商在规定时间内提交二次报价（最终报价）→磋商小组对供应商的响应文件（以二次报价作为磋商报价）进行综合评审→磋商小组按照最终得分由高到低的顺序推荐成交候选人，并向发包人提交“推荐成交候选人名单”。</w:t>
      </w:r>
    </w:p>
    <w:p w14:paraId="398C550D">
      <w:pPr>
        <w:pStyle w:val="699"/>
        <w:adjustRightInd w:val="0"/>
        <w:snapToGrid w:val="0"/>
        <w:spacing w:line="460" w:lineRule="exact"/>
        <w:ind w:firstLine="420" w:firstLineChars="200"/>
        <w:rPr>
          <w:color w:val="auto"/>
          <w:sz w:val="21"/>
          <w:szCs w:val="21"/>
          <w:highlight w:val="none"/>
        </w:rPr>
      </w:pPr>
      <w:bookmarkStart w:id="52" w:name="_Toc81172637"/>
      <w:bookmarkStart w:id="53" w:name="_Toc161407332"/>
      <w:bookmarkStart w:id="54" w:name="_Toc243176583"/>
      <w:bookmarkStart w:id="55" w:name="_Toc240288650"/>
      <w:bookmarkStart w:id="56" w:name="_Toc71804678"/>
      <w:bookmarkStart w:id="57" w:name="_Toc83793861"/>
      <w:bookmarkStart w:id="58" w:name="_Toc75969761"/>
      <w:bookmarkStart w:id="59" w:name="_Toc57900429"/>
      <w:bookmarkStart w:id="60" w:name="_Toc57855113"/>
      <w:r>
        <w:rPr>
          <w:rFonts w:hint="eastAsia"/>
          <w:color w:val="auto"/>
          <w:sz w:val="21"/>
          <w:szCs w:val="21"/>
          <w:highlight w:val="none"/>
        </w:rPr>
        <w:t>2.2磋商方法：采用综合评分法。</w:t>
      </w:r>
      <w:bookmarkEnd w:id="52"/>
      <w:bookmarkEnd w:id="53"/>
      <w:bookmarkEnd w:id="54"/>
      <w:bookmarkEnd w:id="55"/>
      <w:bookmarkEnd w:id="56"/>
      <w:bookmarkEnd w:id="57"/>
      <w:bookmarkEnd w:id="58"/>
      <w:bookmarkEnd w:id="59"/>
      <w:bookmarkEnd w:id="60"/>
    </w:p>
    <w:p w14:paraId="57A7A0F9">
      <w:pPr>
        <w:pStyle w:val="699"/>
        <w:adjustRightInd w:val="0"/>
        <w:snapToGrid w:val="0"/>
        <w:spacing w:line="460" w:lineRule="exact"/>
        <w:ind w:firstLine="420" w:firstLineChars="200"/>
        <w:rPr>
          <w:color w:val="auto"/>
          <w:sz w:val="21"/>
          <w:szCs w:val="21"/>
          <w:highlight w:val="none"/>
        </w:rPr>
      </w:pPr>
      <w:bookmarkStart w:id="61" w:name="_Toc57855114"/>
      <w:bookmarkStart w:id="62" w:name="_Toc57900430"/>
      <w:bookmarkStart w:id="63" w:name="_Toc161407333"/>
      <w:bookmarkStart w:id="64" w:name="_Toc81172638"/>
      <w:bookmarkStart w:id="65" w:name="_Toc243176584"/>
      <w:bookmarkStart w:id="66" w:name="_Toc83793862"/>
      <w:bookmarkStart w:id="67" w:name="_Toc240288651"/>
      <w:bookmarkStart w:id="68" w:name="_Toc71804679"/>
      <w:bookmarkStart w:id="69" w:name="_Toc75969762"/>
      <w:r>
        <w:rPr>
          <w:rFonts w:hint="eastAsia"/>
          <w:color w:val="auto"/>
          <w:sz w:val="21"/>
          <w:szCs w:val="21"/>
          <w:highlight w:val="none"/>
        </w:rPr>
        <w:t>2.3评审标准</w:t>
      </w:r>
      <w:bookmarkEnd w:id="61"/>
      <w:bookmarkEnd w:id="62"/>
      <w:bookmarkEnd w:id="63"/>
      <w:bookmarkEnd w:id="64"/>
      <w:bookmarkEnd w:id="65"/>
      <w:bookmarkEnd w:id="66"/>
      <w:bookmarkEnd w:id="67"/>
      <w:bookmarkEnd w:id="68"/>
      <w:bookmarkEnd w:id="69"/>
    </w:p>
    <w:p w14:paraId="54D754B6">
      <w:pPr>
        <w:pStyle w:val="699"/>
        <w:adjustRightInd w:val="0"/>
        <w:snapToGrid w:val="0"/>
        <w:spacing w:line="460" w:lineRule="exact"/>
        <w:ind w:firstLine="420" w:firstLineChars="200"/>
        <w:rPr>
          <w:color w:val="auto"/>
          <w:sz w:val="21"/>
          <w:szCs w:val="21"/>
          <w:highlight w:val="none"/>
        </w:rPr>
      </w:pPr>
      <w:bookmarkStart w:id="70" w:name="_Toc71804680"/>
      <w:bookmarkStart w:id="71" w:name="_Toc81172639"/>
      <w:bookmarkStart w:id="72" w:name="_Toc57900431"/>
      <w:bookmarkStart w:id="73" w:name="_Toc57855115"/>
      <w:bookmarkStart w:id="74" w:name="_Toc75969763"/>
      <w:bookmarkStart w:id="75" w:name="_Toc240288652"/>
      <w:bookmarkStart w:id="76" w:name="_Toc83793863"/>
      <w:bookmarkStart w:id="77" w:name="_Toc161407334"/>
      <w:bookmarkStart w:id="78" w:name="_Toc243176585"/>
      <w:r>
        <w:rPr>
          <w:rFonts w:hint="eastAsia"/>
          <w:color w:val="auto"/>
          <w:sz w:val="21"/>
          <w:szCs w:val="21"/>
          <w:highlight w:val="none"/>
        </w:rPr>
        <w:t>2.3.1 初步评审标准</w:t>
      </w:r>
      <w:bookmarkEnd w:id="70"/>
      <w:bookmarkEnd w:id="71"/>
      <w:bookmarkEnd w:id="72"/>
      <w:bookmarkEnd w:id="73"/>
      <w:bookmarkEnd w:id="74"/>
      <w:bookmarkEnd w:id="75"/>
      <w:bookmarkEnd w:id="76"/>
      <w:bookmarkEnd w:id="77"/>
      <w:bookmarkEnd w:id="78"/>
    </w:p>
    <w:p w14:paraId="63D9A54E">
      <w:pPr>
        <w:adjustRightInd w:val="0"/>
        <w:snapToGrid w:val="0"/>
        <w:spacing w:line="460" w:lineRule="exact"/>
        <w:ind w:firstLine="420" w:firstLineChars="200"/>
        <w:rPr>
          <w:color w:val="auto"/>
          <w:sz w:val="21"/>
          <w:szCs w:val="21"/>
          <w:highlight w:val="none"/>
        </w:rPr>
      </w:pPr>
      <w:r>
        <w:rPr>
          <w:rFonts w:hint="eastAsia"/>
          <w:color w:val="auto"/>
          <w:sz w:val="21"/>
          <w:szCs w:val="21"/>
          <w:highlight w:val="none"/>
        </w:rPr>
        <w:t>2.3.1.1 评审标准：依据法律法规和竞争性磋商文件的规定，对响应文件中的资格证明、磋商保证金、响应文件的有效性、完整性和对竞争性磋商文件的响应程度等进行审查，以确定是否对竞争性磋商文件的实质性要求作出响应，以确定供应商是否具备磋商资格；具体见竞争性磋商评审办法前附表。</w:t>
      </w:r>
    </w:p>
    <w:p w14:paraId="2FA77D59">
      <w:pPr>
        <w:pStyle w:val="699"/>
        <w:adjustRightInd w:val="0"/>
        <w:snapToGrid w:val="0"/>
        <w:spacing w:line="460" w:lineRule="exact"/>
        <w:ind w:firstLine="420" w:firstLineChars="200"/>
        <w:rPr>
          <w:color w:val="auto"/>
          <w:sz w:val="21"/>
          <w:szCs w:val="21"/>
          <w:highlight w:val="none"/>
        </w:rPr>
      </w:pPr>
      <w:bookmarkStart w:id="79" w:name="_Toc71804681"/>
      <w:bookmarkStart w:id="80" w:name="_Toc83793864"/>
      <w:bookmarkStart w:id="81" w:name="_Toc57900432"/>
      <w:bookmarkStart w:id="82" w:name="_Toc240288653"/>
      <w:bookmarkStart w:id="83" w:name="_Toc243176586"/>
      <w:bookmarkStart w:id="84" w:name="_Toc161407335"/>
      <w:bookmarkStart w:id="85" w:name="_Toc75969764"/>
      <w:bookmarkStart w:id="86" w:name="_Toc81172640"/>
      <w:bookmarkStart w:id="87" w:name="_Toc57855116"/>
      <w:r>
        <w:rPr>
          <w:rFonts w:hint="eastAsia"/>
          <w:color w:val="auto"/>
          <w:sz w:val="21"/>
          <w:szCs w:val="21"/>
          <w:highlight w:val="none"/>
        </w:rPr>
        <w:t>2.3.2 详细评审标准的分值构成与评审标准</w:t>
      </w:r>
      <w:bookmarkEnd w:id="79"/>
      <w:bookmarkEnd w:id="80"/>
      <w:bookmarkEnd w:id="81"/>
      <w:bookmarkEnd w:id="82"/>
      <w:bookmarkEnd w:id="83"/>
      <w:bookmarkEnd w:id="84"/>
      <w:bookmarkEnd w:id="85"/>
      <w:bookmarkEnd w:id="86"/>
      <w:bookmarkEnd w:id="87"/>
    </w:p>
    <w:p w14:paraId="47809B45">
      <w:pPr>
        <w:adjustRightInd w:val="0"/>
        <w:snapToGrid w:val="0"/>
        <w:spacing w:line="460" w:lineRule="exact"/>
        <w:ind w:firstLine="420" w:firstLineChars="200"/>
        <w:rPr>
          <w:color w:val="auto"/>
          <w:sz w:val="21"/>
          <w:szCs w:val="21"/>
          <w:highlight w:val="none"/>
        </w:rPr>
      </w:pPr>
      <w:r>
        <w:rPr>
          <w:rFonts w:hint="eastAsia"/>
          <w:color w:val="auto"/>
          <w:sz w:val="21"/>
          <w:szCs w:val="21"/>
          <w:highlight w:val="none"/>
        </w:rPr>
        <w:t>2.3.2.1 分值构成</w:t>
      </w:r>
    </w:p>
    <w:p w14:paraId="2BD17B09">
      <w:pPr>
        <w:adjustRightInd w:val="0"/>
        <w:snapToGrid w:val="0"/>
        <w:spacing w:line="460" w:lineRule="exact"/>
        <w:ind w:firstLine="420" w:firstLineChars="200"/>
        <w:rPr>
          <w:color w:val="auto"/>
          <w:sz w:val="21"/>
          <w:szCs w:val="21"/>
          <w:highlight w:val="none"/>
        </w:rPr>
      </w:pPr>
      <w:r>
        <w:rPr>
          <w:rFonts w:hint="eastAsia"/>
          <w:color w:val="auto"/>
          <w:sz w:val="21"/>
          <w:szCs w:val="21"/>
          <w:highlight w:val="none"/>
        </w:rPr>
        <w:t>（1）磋商报价：见竞争性磋商评审办法前附表；</w:t>
      </w:r>
    </w:p>
    <w:p w14:paraId="1E69E15D">
      <w:pPr>
        <w:adjustRightInd w:val="0"/>
        <w:snapToGrid w:val="0"/>
        <w:spacing w:line="460" w:lineRule="exact"/>
        <w:ind w:firstLine="420" w:firstLineChars="200"/>
        <w:rPr>
          <w:color w:val="auto"/>
          <w:sz w:val="21"/>
          <w:szCs w:val="21"/>
          <w:highlight w:val="none"/>
        </w:rPr>
      </w:pPr>
      <w:r>
        <w:rPr>
          <w:rFonts w:hint="eastAsia"/>
          <w:color w:val="auto"/>
          <w:sz w:val="21"/>
          <w:szCs w:val="21"/>
          <w:highlight w:val="none"/>
        </w:rPr>
        <w:t>（2）技术部分：见竞争性磋商评审办法前附表；</w:t>
      </w:r>
    </w:p>
    <w:p w14:paraId="5EF75F23">
      <w:pPr>
        <w:adjustRightInd w:val="0"/>
        <w:snapToGrid w:val="0"/>
        <w:spacing w:line="460" w:lineRule="exact"/>
        <w:ind w:firstLine="420" w:firstLineChars="200"/>
        <w:rPr>
          <w:color w:val="auto"/>
          <w:sz w:val="21"/>
          <w:szCs w:val="21"/>
          <w:highlight w:val="none"/>
        </w:rPr>
      </w:pPr>
      <w:r>
        <w:rPr>
          <w:rFonts w:hint="eastAsia"/>
          <w:color w:val="auto"/>
          <w:sz w:val="21"/>
          <w:szCs w:val="21"/>
          <w:highlight w:val="none"/>
        </w:rPr>
        <w:t>2.3.2.2磋商</w:t>
      </w:r>
      <w:r>
        <w:rPr>
          <w:color w:val="auto"/>
          <w:sz w:val="21"/>
          <w:szCs w:val="21"/>
          <w:highlight w:val="none"/>
        </w:rPr>
        <w:t>基准价计算方法</w:t>
      </w:r>
      <w:r>
        <w:rPr>
          <w:rFonts w:hint="eastAsia"/>
          <w:color w:val="auto"/>
          <w:sz w:val="21"/>
          <w:szCs w:val="21"/>
          <w:highlight w:val="none"/>
        </w:rPr>
        <w:t>：见竞争性磋商评审办法前附表。</w:t>
      </w:r>
    </w:p>
    <w:p w14:paraId="53099DF3">
      <w:pPr>
        <w:adjustRightInd w:val="0"/>
        <w:snapToGrid w:val="0"/>
        <w:spacing w:line="460" w:lineRule="exact"/>
        <w:ind w:firstLine="420" w:firstLineChars="200"/>
        <w:rPr>
          <w:color w:val="auto"/>
          <w:sz w:val="21"/>
          <w:szCs w:val="21"/>
          <w:highlight w:val="none"/>
        </w:rPr>
      </w:pPr>
      <w:r>
        <w:rPr>
          <w:rFonts w:hint="eastAsia"/>
          <w:color w:val="auto"/>
          <w:sz w:val="21"/>
          <w:szCs w:val="21"/>
          <w:highlight w:val="none"/>
        </w:rPr>
        <w:t>2.3.2.3评审标准</w:t>
      </w:r>
    </w:p>
    <w:p w14:paraId="32FD641F">
      <w:pPr>
        <w:adjustRightInd w:val="0"/>
        <w:snapToGrid w:val="0"/>
        <w:spacing w:line="460" w:lineRule="exact"/>
        <w:ind w:firstLine="420" w:firstLineChars="200"/>
        <w:rPr>
          <w:color w:val="auto"/>
          <w:sz w:val="21"/>
          <w:szCs w:val="21"/>
          <w:highlight w:val="none"/>
        </w:rPr>
      </w:pPr>
      <w:r>
        <w:rPr>
          <w:rFonts w:hint="eastAsia"/>
          <w:color w:val="auto"/>
          <w:sz w:val="21"/>
          <w:szCs w:val="21"/>
          <w:highlight w:val="none"/>
        </w:rPr>
        <w:t>按竞争性磋商文件中规定的竞争性磋商评审方法和评审标准，对初步评审合格的响应文件进行磋商报价和技术部分评估，综合比较与评价。其中磋商报价以供应商的二次报价（最终报价）为准，作为磋商报价评审的依据。</w:t>
      </w:r>
    </w:p>
    <w:p w14:paraId="3DF6C1DE">
      <w:pPr>
        <w:adjustRightInd w:val="0"/>
        <w:snapToGrid w:val="0"/>
        <w:spacing w:line="460" w:lineRule="exact"/>
        <w:ind w:firstLine="420" w:firstLineChars="200"/>
        <w:rPr>
          <w:color w:val="auto"/>
          <w:sz w:val="21"/>
          <w:szCs w:val="21"/>
          <w:highlight w:val="none"/>
        </w:rPr>
      </w:pPr>
      <w:r>
        <w:rPr>
          <w:rFonts w:hint="eastAsia"/>
          <w:color w:val="auto"/>
          <w:sz w:val="21"/>
          <w:szCs w:val="21"/>
          <w:highlight w:val="none"/>
        </w:rPr>
        <w:t>（1）磋商报价评审标准：见竞争性磋商评审办法前附表；</w:t>
      </w:r>
    </w:p>
    <w:p w14:paraId="3E783BDD">
      <w:pPr>
        <w:adjustRightInd w:val="0"/>
        <w:snapToGrid w:val="0"/>
        <w:spacing w:line="460" w:lineRule="exact"/>
        <w:ind w:firstLine="420" w:firstLineChars="200"/>
        <w:rPr>
          <w:color w:val="auto"/>
          <w:sz w:val="21"/>
          <w:szCs w:val="21"/>
          <w:highlight w:val="none"/>
        </w:rPr>
      </w:pPr>
      <w:r>
        <w:rPr>
          <w:rFonts w:hint="eastAsia"/>
          <w:color w:val="auto"/>
          <w:sz w:val="21"/>
          <w:szCs w:val="21"/>
          <w:highlight w:val="none"/>
        </w:rPr>
        <w:t>（2）技术部分评审标准：见竞争性磋商评审办法前附表；</w:t>
      </w:r>
    </w:p>
    <w:p w14:paraId="259D5B70">
      <w:pPr>
        <w:pStyle w:val="699"/>
        <w:adjustRightInd w:val="0"/>
        <w:snapToGrid w:val="0"/>
        <w:spacing w:line="460" w:lineRule="exact"/>
        <w:ind w:firstLine="420" w:firstLineChars="200"/>
        <w:rPr>
          <w:color w:val="auto"/>
          <w:sz w:val="21"/>
          <w:szCs w:val="21"/>
          <w:highlight w:val="none"/>
        </w:rPr>
      </w:pPr>
      <w:bookmarkStart w:id="88" w:name="_Toc57855117"/>
      <w:bookmarkStart w:id="89" w:name="_Toc57900433"/>
      <w:bookmarkStart w:id="90" w:name="_Toc240288654"/>
      <w:bookmarkStart w:id="91" w:name="_Toc81172641"/>
      <w:bookmarkStart w:id="92" w:name="_Toc83793865"/>
      <w:bookmarkStart w:id="93" w:name="_Toc71804682"/>
      <w:bookmarkStart w:id="94" w:name="_Toc243176587"/>
      <w:bookmarkStart w:id="95" w:name="_Toc75969765"/>
      <w:bookmarkStart w:id="96" w:name="_Toc161407336"/>
      <w:r>
        <w:rPr>
          <w:rFonts w:hint="eastAsia"/>
          <w:color w:val="auto"/>
          <w:sz w:val="21"/>
          <w:szCs w:val="21"/>
          <w:highlight w:val="none"/>
        </w:rPr>
        <w:t>2.4初步评审</w:t>
      </w:r>
      <w:bookmarkEnd w:id="88"/>
      <w:bookmarkEnd w:id="89"/>
      <w:bookmarkEnd w:id="90"/>
      <w:bookmarkEnd w:id="91"/>
      <w:bookmarkEnd w:id="92"/>
      <w:bookmarkEnd w:id="93"/>
      <w:bookmarkEnd w:id="94"/>
      <w:bookmarkEnd w:id="95"/>
      <w:bookmarkEnd w:id="96"/>
    </w:p>
    <w:p w14:paraId="20C99C79">
      <w:pPr>
        <w:adjustRightInd w:val="0"/>
        <w:snapToGrid w:val="0"/>
        <w:spacing w:line="460" w:lineRule="exact"/>
        <w:ind w:firstLine="420" w:firstLineChars="200"/>
        <w:rPr>
          <w:color w:val="auto"/>
          <w:sz w:val="21"/>
          <w:szCs w:val="21"/>
          <w:highlight w:val="none"/>
        </w:rPr>
      </w:pPr>
      <w:r>
        <w:rPr>
          <w:rFonts w:hint="eastAsia"/>
          <w:color w:val="auto"/>
          <w:sz w:val="21"/>
          <w:szCs w:val="21"/>
          <w:highlight w:val="none"/>
        </w:rPr>
        <w:t>2.4.1 磋商小组依据本章第2.1.1项规定的标准对响应文件进行初步评审，有一项不符合评审标准的，作否决投标处理。</w:t>
      </w:r>
    </w:p>
    <w:p w14:paraId="71849E0D">
      <w:pPr>
        <w:adjustRightInd w:val="0"/>
        <w:snapToGrid w:val="0"/>
        <w:spacing w:line="460" w:lineRule="exact"/>
        <w:ind w:firstLine="420" w:firstLineChars="200"/>
        <w:rPr>
          <w:color w:val="auto"/>
          <w:sz w:val="21"/>
          <w:szCs w:val="21"/>
          <w:highlight w:val="none"/>
        </w:rPr>
      </w:pPr>
      <w:r>
        <w:rPr>
          <w:rFonts w:hint="eastAsia"/>
          <w:color w:val="auto"/>
          <w:sz w:val="21"/>
          <w:szCs w:val="21"/>
          <w:highlight w:val="none"/>
        </w:rPr>
        <w:t>2.4.2供应商有附件A“废标条件”中规定的任何一种情形的，其磋商作否决投标处理。</w:t>
      </w:r>
    </w:p>
    <w:p w14:paraId="07B05F99">
      <w:pPr>
        <w:adjustRightInd w:val="0"/>
        <w:snapToGrid w:val="0"/>
        <w:spacing w:line="460" w:lineRule="exact"/>
        <w:ind w:firstLine="420" w:firstLineChars="200"/>
        <w:rPr>
          <w:color w:val="auto"/>
          <w:sz w:val="21"/>
          <w:szCs w:val="21"/>
          <w:highlight w:val="none"/>
        </w:rPr>
      </w:pPr>
      <w:r>
        <w:rPr>
          <w:rFonts w:hint="eastAsia"/>
          <w:color w:val="auto"/>
          <w:sz w:val="21"/>
          <w:szCs w:val="21"/>
          <w:highlight w:val="none"/>
        </w:rPr>
        <w:t>2.4.3磋商报价有算术错误的，磋商小组按以下原则对磋商报价进行修正，修正的价格经供应商书面确认后具有约束力。供应商不接受修正价格的，其磋商作否决投标处理。</w:t>
      </w:r>
    </w:p>
    <w:p w14:paraId="14502243">
      <w:pPr>
        <w:adjustRightInd w:val="0"/>
        <w:snapToGrid w:val="0"/>
        <w:spacing w:line="460" w:lineRule="exact"/>
        <w:ind w:firstLine="420" w:firstLineChars="200"/>
        <w:rPr>
          <w:color w:val="auto"/>
          <w:sz w:val="21"/>
          <w:szCs w:val="21"/>
          <w:highlight w:val="none"/>
        </w:rPr>
      </w:pPr>
      <w:r>
        <w:rPr>
          <w:rFonts w:hint="eastAsia"/>
          <w:color w:val="auto"/>
          <w:sz w:val="21"/>
          <w:szCs w:val="21"/>
          <w:highlight w:val="none"/>
        </w:rPr>
        <w:t>（1）竞争性磋商响应文件中的大写金额与小写金额不一致的，以大写金额为准；</w:t>
      </w:r>
    </w:p>
    <w:p w14:paraId="613F2839">
      <w:pPr>
        <w:adjustRightInd w:val="0"/>
        <w:snapToGrid w:val="0"/>
        <w:spacing w:line="460" w:lineRule="exact"/>
        <w:ind w:firstLine="420" w:firstLineChars="200"/>
        <w:rPr>
          <w:color w:val="auto"/>
          <w:sz w:val="21"/>
          <w:szCs w:val="21"/>
          <w:highlight w:val="none"/>
        </w:rPr>
      </w:pPr>
      <w:r>
        <w:rPr>
          <w:rFonts w:hint="eastAsia"/>
          <w:color w:val="auto"/>
          <w:sz w:val="21"/>
          <w:szCs w:val="21"/>
          <w:highlight w:val="none"/>
        </w:rPr>
        <w:t>（2）竞争性磋商响应文件中总价金额与依据单价计算出的结果不一致的，以单价金额为准修正总价，但单价金额小数点有明显错误的除外。</w:t>
      </w:r>
    </w:p>
    <w:p w14:paraId="4EF70246">
      <w:pPr>
        <w:pStyle w:val="699"/>
        <w:adjustRightInd w:val="0"/>
        <w:snapToGrid w:val="0"/>
        <w:spacing w:line="460" w:lineRule="exact"/>
        <w:ind w:firstLine="420" w:firstLineChars="200"/>
        <w:rPr>
          <w:color w:val="auto"/>
          <w:sz w:val="21"/>
          <w:szCs w:val="21"/>
          <w:highlight w:val="none"/>
        </w:rPr>
      </w:pPr>
      <w:bookmarkStart w:id="97" w:name="_Toc161407337"/>
      <w:bookmarkStart w:id="98" w:name="_Toc57900434"/>
      <w:bookmarkStart w:id="99" w:name="_Toc71804683"/>
      <w:bookmarkStart w:id="100" w:name="_Toc75969766"/>
      <w:bookmarkStart w:id="101" w:name="_Toc57855118"/>
      <w:bookmarkStart w:id="102" w:name="_Toc243176588"/>
      <w:bookmarkStart w:id="103" w:name="_Toc81172642"/>
      <w:bookmarkStart w:id="104" w:name="_Toc240288655"/>
      <w:bookmarkStart w:id="105" w:name="_Toc83793866"/>
      <w:r>
        <w:rPr>
          <w:rFonts w:hint="eastAsia"/>
          <w:color w:val="auto"/>
          <w:sz w:val="21"/>
          <w:szCs w:val="21"/>
          <w:highlight w:val="none"/>
        </w:rPr>
        <w:t>2.5详细评审</w:t>
      </w:r>
      <w:bookmarkEnd w:id="97"/>
      <w:bookmarkEnd w:id="98"/>
      <w:bookmarkEnd w:id="99"/>
      <w:bookmarkEnd w:id="100"/>
      <w:bookmarkEnd w:id="101"/>
      <w:bookmarkEnd w:id="102"/>
      <w:bookmarkEnd w:id="103"/>
      <w:bookmarkEnd w:id="104"/>
      <w:bookmarkEnd w:id="105"/>
    </w:p>
    <w:p w14:paraId="751F2306">
      <w:pPr>
        <w:adjustRightInd w:val="0"/>
        <w:snapToGrid w:val="0"/>
        <w:spacing w:line="460" w:lineRule="exact"/>
        <w:ind w:firstLine="420" w:firstLineChars="200"/>
        <w:rPr>
          <w:color w:val="auto"/>
          <w:sz w:val="21"/>
          <w:szCs w:val="21"/>
          <w:highlight w:val="none"/>
        </w:rPr>
      </w:pPr>
      <w:r>
        <w:rPr>
          <w:rFonts w:hint="eastAsia"/>
          <w:color w:val="auto"/>
          <w:sz w:val="21"/>
          <w:szCs w:val="21"/>
          <w:highlight w:val="none"/>
        </w:rPr>
        <w:t>2.5.1磋商小组按本章第2.2.1款、2.2.2（1）款、2.2.2（2）款规定的标准及分值进行打分，并计算出综合得分。</w:t>
      </w:r>
    </w:p>
    <w:p w14:paraId="468F9717">
      <w:pPr>
        <w:adjustRightInd w:val="0"/>
        <w:snapToGrid w:val="0"/>
        <w:spacing w:line="460" w:lineRule="exact"/>
        <w:ind w:firstLine="420" w:firstLineChars="200"/>
        <w:rPr>
          <w:color w:val="auto"/>
          <w:sz w:val="21"/>
          <w:szCs w:val="21"/>
          <w:highlight w:val="none"/>
        </w:rPr>
      </w:pPr>
      <w:r>
        <w:rPr>
          <w:rFonts w:hint="eastAsia"/>
          <w:color w:val="auto"/>
          <w:sz w:val="21"/>
          <w:szCs w:val="21"/>
          <w:highlight w:val="none"/>
        </w:rPr>
        <w:t>2.5.2评分分值计算保留小数点后两位，小数点后第三位“四舍五入”。</w:t>
      </w:r>
    </w:p>
    <w:p w14:paraId="0DA41537">
      <w:pPr>
        <w:adjustRightInd w:val="0"/>
        <w:snapToGrid w:val="0"/>
        <w:spacing w:line="460" w:lineRule="exact"/>
        <w:ind w:firstLine="420" w:firstLineChars="200"/>
        <w:rPr>
          <w:color w:val="auto"/>
          <w:sz w:val="21"/>
          <w:szCs w:val="21"/>
          <w:highlight w:val="none"/>
        </w:rPr>
      </w:pPr>
      <w:r>
        <w:rPr>
          <w:rFonts w:hint="eastAsia"/>
          <w:color w:val="auto"/>
          <w:sz w:val="21"/>
          <w:szCs w:val="21"/>
          <w:highlight w:val="none"/>
        </w:rPr>
        <w:t>2.5.3 磋商小组发现供应商的报价明显低于其他磋商报价，使得其磋商报价可能低于其成本的，应当要求该供应商作出书面说明并提供相应的证明材料；供应商不能合理说明或者不能提供相应证明材料的，由磋商小组认定该供应商以低于成本报价竞标，其磋商作否决投标处理。</w:t>
      </w:r>
    </w:p>
    <w:p w14:paraId="6ACE99DF">
      <w:pPr>
        <w:pStyle w:val="699"/>
        <w:adjustRightInd w:val="0"/>
        <w:snapToGrid w:val="0"/>
        <w:spacing w:line="460" w:lineRule="exact"/>
        <w:ind w:firstLine="420" w:firstLineChars="200"/>
        <w:rPr>
          <w:color w:val="auto"/>
          <w:sz w:val="21"/>
          <w:szCs w:val="21"/>
          <w:highlight w:val="none"/>
        </w:rPr>
      </w:pPr>
      <w:bookmarkStart w:id="106" w:name="_Toc71804684"/>
      <w:bookmarkStart w:id="107" w:name="_Toc240288656"/>
      <w:bookmarkStart w:id="108" w:name="_Toc57900435"/>
      <w:bookmarkStart w:id="109" w:name="_Toc57855119"/>
      <w:bookmarkStart w:id="110" w:name="_Toc81172643"/>
      <w:bookmarkStart w:id="111" w:name="_Toc161407338"/>
      <w:bookmarkStart w:id="112" w:name="_Toc243176589"/>
      <w:bookmarkStart w:id="113" w:name="_Toc83793867"/>
      <w:bookmarkStart w:id="114" w:name="_Toc75969767"/>
      <w:r>
        <w:rPr>
          <w:rFonts w:hint="eastAsia"/>
          <w:color w:val="auto"/>
          <w:sz w:val="21"/>
          <w:szCs w:val="21"/>
          <w:highlight w:val="none"/>
        </w:rPr>
        <w:t>2.6评分要求和统计分数原则</w:t>
      </w:r>
      <w:bookmarkEnd w:id="106"/>
      <w:bookmarkEnd w:id="107"/>
      <w:bookmarkEnd w:id="108"/>
      <w:bookmarkEnd w:id="109"/>
      <w:bookmarkEnd w:id="110"/>
      <w:bookmarkEnd w:id="111"/>
      <w:bookmarkEnd w:id="112"/>
      <w:bookmarkEnd w:id="113"/>
      <w:bookmarkEnd w:id="114"/>
    </w:p>
    <w:p w14:paraId="12F1F760">
      <w:pPr>
        <w:adjustRightInd w:val="0"/>
        <w:snapToGrid w:val="0"/>
        <w:spacing w:line="460" w:lineRule="exact"/>
        <w:ind w:firstLine="420" w:firstLineChars="200"/>
        <w:rPr>
          <w:color w:val="auto"/>
          <w:sz w:val="21"/>
          <w:szCs w:val="21"/>
          <w:highlight w:val="none"/>
        </w:rPr>
      </w:pPr>
      <w:r>
        <w:rPr>
          <w:rFonts w:hint="eastAsia"/>
          <w:color w:val="auto"/>
          <w:sz w:val="21"/>
          <w:szCs w:val="21"/>
          <w:highlight w:val="none"/>
        </w:rPr>
        <w:t>2.6.1磋商小组首先对各供应商的磋商响应文件进行评审，并按磋商文件规定的分值对供应商的报价、技术进行评分。</w:t>
      </w:r>
    </w:p>
    <w:p w14:paraId="67ABDEFC">
      <w:pPr>
        <w:adjustRightInd w:val="0"/>
        <w:snapToGrid w:val="0"/>
        <w:spacing w:line="460" w:lineRule="exact"/>
        <w:ind w:firstLine="420" w:firstLineChars="200"/>
        <w:rPr>
          <w:color w:val="auto"/>
          <w:sz w:val="21"/>
          <w:szCs w:val="21"/>
          <w:highlight w:val="none"/>
        </w:rPr>
      </w:pPr>
      <w:r>
        <w:rPr>
          <w:rFonts w:hint="eastAsia"/>
          <w:color w:val="auto"/>
          <w:sz w:val="21"/>
          <w:szCs w:val="21"/>
          <w:highlight w:val="none"/>
        </w:rPr>
        <w:t>2.6.2各评委的评分应在磋商小组内进行公示，某个评委对某个磋商响应文件评分分值低于（高于）所有评委对该磋商响应文件评分分值的平均值10分以上（含10分）的，该评委须向磋商小组作出明确解释，理由不充分的该评委应对其评分作修正，若拒不修正的，该评委对此磋商响应文件的评分不得参与计算此磋商响应文件的报价、技术得分。</w:t>
      </w:r>
    </w:p>
    <w:p w14:paraId="479663D4">
      <w:pPr>
        <w:adjustRightInd w:val="0"/>
        <w:snapToGrid w:val="0"/>
        <w:spacing w:line="460" w:lineRule="exact"/>
        <w:ind w:firstLine="420" w:firstLineChars="200"/>
        <w:rPr>
          <w:color w:val="auto"/>
          <w:sz w:val="21"/>
          <w:szCs w:val="21"/>
          <w:highlight w:val="none"/>
        </w:rPr>
      </w:pPr>
      <w:r>
        <w:rPr>
          <w:rFonts w:hint="eastAsia"/>
          <w:color w:val="auto"/>
          <w:sz w:val="21"/>
          <w:szCs w:val="21"/>
          <w:highlight w:val="none"/>
        </w:rPr>
        <w:t>统计分数原则：计算各评委的算术平均分值为供应商的技术得分（保留小数点后两位）。</w:t>
      </w:r>
    </w:p>
    <w:p w14:paraId="6F80A6A3">
      <w:pPr>
        <w:pStyle w:val="699"/>
        <w:adjustRightInd w:val="0"/>
        <w:snapToGrid w:val="0"/>
        <w:spacing w:line="460" w:lineRule="exact"/>
        <w:ind w:firstLine="420" w:firstLineChars="200"/>
        <w:rPr>
          <w:color w:val="auto"/>
          <w:sz w:val="21"/>
          <w:szCs w:val="21"/>
          <w:highlight w:val="none"/>
        </w:rPr>
      </w:pPr>
      <w:bookmarkStart w:id="115" w:name="_Toc71804685"/>
      <w:bookmarkStart w:id="116" w:name="_Toc83793868"/>
      <w:bookmarkStart w:id="117" w:name="_Toc57855120"/>
      <w:bookmarkStart w:id="118" w:name="_Toc240288657"/>
      <w:bookmarkStart w:id="119" w:name="_Toc81172644"/>
      <w:bookmarkStart w:id="120" w:name="_Toc57900436"/>
      <w:bookmarkStart w:id="121" w:name="_Toc75969768"/>
      <w:bookmarkStart w:id="122" w:name="_Toc243176590"/>
      <w:bookmarkStart w:id="123" w:name="_Toc161407339"/>
      <w:r>
        <w:rPr>
          <w:rFonts w:hint="eastAsia"/>
          <w:color w:val="auto"/>
          <w:sz w:val="21"/>
          <w:szCs w:val="21"/>
          <w:highlight w:val="none"/>
        </w:rPr>
        <w:t>2.7竞争性磋商响应文件的澄清和补正</w:t>
      </w:r>
      <w:bookmarkEnd w:id="115"/>
      <w:bookmarkEnd w:id="116"/>
      <w:bookmarkEnd w:id="117"/>
      <w:bookmarkEnd w:id="118"/>
      <w:bookmarkEnd w:id="119"/>
      <w:bookmarkEnd w:id="120"/>
      <w:bookmarkEnd w:id="121"/>
      <w:bookmarkEnd w:id="122"/>
      <w:bookmarkEnd w:id="123"/>
    </w:p>
    <w:p w14:paraId="3585A743">
      <w:pPr>
        <w:adjustRightInd w:val="0"/>
        <w:snapToGrid w:val="0"/>
        <w:spacing w:line="460" w:lineRule="exact"/>
        <w:ind w:firstLine="420" w:firstLineChars="200"/>
        <w:rPr>
          <w:color w:val="auto"/>
          <w:sz w:val="21"/>
          <w:szCs w:val="21"/>
          <w:highlight w:val="none"/>
        </w:rPr>
      </w:pPr>
      <w:r>
        <w:rPr>
          <w:rFonts w:hint="eastAsia"/>
          <w:color w:val="auto"/>
          <w:sz w:val="21"/>
          <w:szCs w:val="21"/>
          <w:highlight w:val="none"/>
        </w:rPr>
        <w:t>2.7.1在磋商过程中，磋商小组可以以书面形式（应当由磋商小组专家签字）要求供应商对所提交的磋商响应文件中含义不明确、同类问题表述不一致或者有明显文字和计算错误的内容，进行书面澄清、说明或者更正。供应商的澄清、说明或者更正不得超出响应文件的范围或者改变响应文件的实质性内容。磋商小组不接受供应商主动提出的澄清、说明或更正。</w:t>
      </w:r>
    </w:p>
    <w:p w14:paraId="636E8C7B">
      <w:pPr>
        <w:adjustRightInd w:val="0"/>
        <w:snapToGrid w:val="0"/>
        <w:spacing w:line="460" w:lineRule="exact"/>
        <w:ind w:firstLine="420" w:firstLineChars="200"/>
        <w:rPr>
          <w:color w:val="auto"/>
          <w:sz w:val="21"/>
          <w:szCs w:val="21"/>
          <w:highlight w:val="none"/>
        </w:rPr>
      </w:pPr>
      <w:r>
        <w:rPr>
          <w:rFonts w:hint="eastAsia"/>
          <w:color w:val="auto"/>
          <w:sz w:val="21"/>
          <w:szCs w:val="21"/>
          <w:highlight w:val="none"/>
        </w:rPr>
        <w:t>2.7.2澄清、说明或者更正不得改变竞争性磋商响应文件的实质性内容（算术性错误修正的除外）。供应商的书面澄清、说明或者更正属于竞争性磋商响应文件的组成部分。</w:t>
      </w:r>
    </w:p>
    <w:p w14:paraId="23102E0A">
      <w:pPr>
        <w:adjustRightInd w:val="0"/>
        <w:snapToGrid w:val="0"/>
        <w:spacing w:line="460" w:lineRule="exact"/>
        <w:ind w:firstLine="420" w:firstLineChars="200"/>
        <w:rPr>
          <w:color w:val="auto"/>
          <w:sz w:val="21"/>
          <w:szCs w:val="21"/>
          <w:highlight w:val="none"/>
        </w:rPr>
      </w:pPr>
      <w:r>
        <w:rPr>
          <w:rFonts w:hint="eastAsia"/>
          <w:color w:val="auto"/>
          <w:sz w:val="21"/>
          <w:szCs w:val="21"/>
          <w:highlight w:val="none"/>
        </w:rPr>
        <w:t>2.7.3磋商小组对供应商提交的澄清、说明或者更正有疑问的，可以要求供应商进一步澄清、说明或者更正，直至满足磋商小组的要求。</w:t>
      </w:r>
    </w:p>
    <w:p w14:paraId="3EC309ED">
      <w:pPr>
        <w:pStyle w:val="699"/>
        <w:adjustRightInd w:val="0"/>
        <w:snapToGrid w:val="0"/>
        <w:spacing w:line="460" w:lineRule="exact"/>
        <w:ind w:firstLine="420" w:firstLineChars="200"/>
        <w:rPr>
          <w:color w:val="auto"/>
          <w:sz w:val="21"/>
          <w:szCs w:val="21"/>
          <w:highlight w:val="none"/>
        </w:rPr>
      </w:pPr>
      <w:bookmarkStart w:id="124" w:name="_Toc57855121"/>
      <w:bookmarkStart w:id="125" w:name="_Toc83793869"/>
      <w:bookmarkStart w:id="126" w:name="_Toc75969769"/>
      <w:bookmarkStart w:id="127" w:name="_Toc57900437"/>
      <w:bookmarkStart w:id="128" w:name="_Toc161407340"/>
      <w:bookmarkStart w:id="129" w:name="_Toc71804686"/>
      <w:bookmarkStart w:id="130" w:name="_Toc81172645"/>
      <w:bookmarkStart w:id="131" w:name="_Toc243176591"/>
      <w:bookmarkStart w:id="132" w:name="_Toc240288658"/>
      <w:r>
        <w:rPr>
          <w:rFonts w:hint="eastAsia"/>
          <w:color w:val="auto"/>
          <w:sz w:val="21"/>
          <w:szCs w:val="21"/>
          <w:highlight w:val="none"/>
        </w:rPr>
        <w:t>2.8成交候选人推荐</w:t>
      </w:r>
      <w:bookmarkEnd w:id="124"/>
      <w:bookmarkEnd w:id="125"/>
      <w:bookmarkEnd w:id="126"/>
      <w:bookmarkEnd w:id="127"/>
      <w:bookmarkEnd w:id="128"/>
      <w:bookmarkEnd w:id="129"/>
      <w:bookmarkEnd w:id="130"/>
      <w:bookmarkEnd w:id="131"/>
      <w:bookmarkEnd w:id="132"/>
    </w:p>
    <w:p w14:paraId="5B60B033">
      <w:pPr>
        <w:adjustRightInd w:val="0"/>
        <w:snapToGrid w:val="0"/>
        <w:spacing w:line="460" w:lineRule="exact"/>
        <w:ind w:firstLine="420" w:firstLineChars="200"/>
        <w:rPr>
          <w:color w:val="auto"/>
          <w:szCs w:val="21"/>
          <w:highlight w:val="none"/>
        </w:rPr>
      </w:pPr>
      <w:r>
        <w:rPr>
          <w:rFonts w:hint="eastAsia"/>
          <w:color w:val="auto"/>
          <w:sz w:val="21"/>
          <w:szCs w:val="21"/>
          <w:highlight w:val="none"/>
        </w:rPr>
        <w:t>磋商小组对满足竞争性磋商文件初步评审要求的响应文件，按照本章第2.2.1款、2.2.2（1）款、2.2.2（2）款规定的评审标准进行打分，并按最后得分由高到低顺序推荐成交候选人；最后得分相同时，按磋商报价由低到高顺序排列；若最后得分、磋商报价、技术部分同时相同的，由磋商小组进行投票，以得票数多的优先推荐成交候选人。</w:t>
      </w:r>
    </w:p>
    <w:p w14:paraId="27546BF8">
      <w:pPr>
        <w:spacing w:line="460" w:lineRule="exact"/>
        <w:rPr>
          <w:b/>
          <w:bCs/>
          <w:color w:val="auto"/>
          <w:sz w:val="21"/>
          <w:szCs w:val="21"/>
          <w:highlight w:val="none"/>
        </w:rPr>
      </w:pPr>
      <w:r>
        <w:rPr>
          <w:rFonts w:hint="eastAsia"/>
          <w:b/>
          <w:bCs/>
          <w:color w:val="auto"/>
          <w:sz w:val="21"/>
          <w:szCs w:val="21"/>
          <w:highlight w:val="none"/>
        </w:rPr>
        <w:t>附件A：废标条件</w:t>
      </w:r>
    </w:p>
    <w:p w14:paraId="6CBEE1F5">
      <w:pPr>
        <w:pStyle w:val="5"/>
        <w:spacing w:before="0" w:after="0" w:line="460" w:lineRule="exact"/>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A</w:t>
      </w:r>
      <w:r>
        <w:rPr>
          <w:rFonts w:ascii="Times New Roman" w:hAnsi="Times New Roman" w:eastAsia="宋体"/>
          <w:color w:val="auto"/>
          <w:sz w:val="21"/>
          <w:szCs w:val="21"/>
          <w:highlight w:val="none"/>
        </w:rPr>
        <w:t>0</w:t>
      </w:r>
      <w:r>
        <w:rPr>
          <w:rFonts w:hint="eastAsia" w:ascii="Times New Roman" w:hAnsi="Times New Roman" w:eastAsia="宋体"/>
          <w:color w:val="auto"/>
          <w:sz w:val="21"/>
          <w:szCs w:val="21"/>
          <w:highlight w:val="none"/>
        </w:rPr>
        <w:t>.总则</w:t>
      </w:r>
    </w:p>
    <w:p w14:paraId="71EF5E2D">
      <w:pPr>
        <w:spacing w:line="460" w:lineRule="exact"/>
        <w:ind w:firstLine="420" w:firstLineChars="200"/>
        <w:rPr>
          <w:color w:val="auto"/>
          <w:sz w:val="21"/>
          <w:szCs w:val="21"/>
          <w:highlight w:val="none"/>
        </w:rPr>
      </w:pPr>
      <w:r>
        <w:rPr>
          <w:rFonts w:hint="eastAsia"/>
          <w:color w:val="auto"/>
          <w:sz w:val="21"/>
          <w:szCs w:val="21"/>
          <w:highlight w:val="none"/>
        </w:rPr>
        <w:t>废标的全部条件应为本章评审标准所包含全部内容，本附件所集中列示的废标条件，是对评审的补充。</w:t>
      </w:r>
    </w:p>
    <w:p w14:paraId="06FCCD07">
      <w:pPr>
        <w:pStyle w:val="5"/>
        <w:spacing w:before="0" w:after="0" w:line="460" w:lineRule="exact"/>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A1</w:t>
      </w:r>
      <w:r>
        <w:rPr>
          <w:rFonts w:ascii="Times New Roman" w:hAnsi="Times New Roman" w:eastAsia="宋体"/>
          <w:color w:val="auto"/>
          <w:sz w:val="21"/>
          <w:szCs w:val="21"/>
          <w:highlight w:val="none"/>
        </w:rPr>
        <w:t>．废标条件</w:t>
      </w:r>
    </w:p>
    <w:p w14:paraId="2B522F94">
      <w:pPr>
        <w:spacing w:line="460" w:lineRule="exact"/>
        <w:ind w:firstLine="420" w:firstLineChars="200"/>
        <w:rPr>
          <w:color w:val="auto"/>
          <w:sz w:val="21"/>
          <w:szCs w:val="21"/>
          <w:highlight w:val="none"/>
        </w:rPr>
      </w:pPr>
      <w:r>
        <w:rPr>
          <w:rFonts w:hint="eastAsia"/>
          <w:color w:val="auto"/>
          <w:sz w:val="21"/>
          <w:szCs w:val="21"/>
          <w:highlight w:val="none"/>
        </w:rPr>
        <w:t>供应商或磋商响应文件有下列情形之一的,其磋商作否决投标处理：</w:t>
      </w:r>
    </w:p>
    <w:p w14:paraId="0AF816C9">
      <w:pPr>
        <w:spacing w:line="460" w:lineRule="exact"/>
        <w:ind w:firstLine="424" w:firstLineChars="202"/>
        <w:rPr>
          <w:color w:val="auto"/>
          <w:sz w:val="21"/>
          <w:szCs w:val="21"/>
          <w:highlight w:val="none"/>
        </w:rPr>
      </w:pPr>
      <w:r>
        <w:rPr>
          <w:rFonts w:hint="eastAsia"/>
          <w:color w:val="auto"/>
          <w:sz w:val="21"/>
          <w:szCs w:val="21"/>
          <w:highlight w:val="none"/>
        </w:rPr>
        <w:t>A1.1 不按磋商小组要求澄清、说明或者更正的。</w:t>
      </w:r>
    </w:p>
    <w:p w14:paraId="6A8EE493">
      <w:pPr>
        <w:spacing w:line="460" w:lineRule="exact"/>
        <w:ind w:firstLine="424" w:firstLineChars="202"/>
        <w:rPr>
          <w:color w:val="auto"/>
          <w:sz w:val="21"/>
          <w:szCs w:val="21"/>
          <w:highlight w:val="none"/>
        </w:rPr>
      </w:pPr>
      <w:r>
        <w:rPr>
          <w:rFonts w:hint="eastAsia"/>
          <w:color w:val="auto"/>
          <w:sz w:val="21"/>
          <w:szCs w:val="21"/>
          <w:highlight w:val="none"/>
        </w:rPr>
        <w:t>A1.2 在初步评审中，磋商小组认定供应商的磋商不符合评审标准中规定的任何一项评审标准的。</w:t>
      </w:r>
    </w:p>
    <w:p w14:paraId="06E3C727">
      <w:pPr>
        <w:spacing w:line="460" w:lineRule="exact"/>
        <w:ind w:firstLine="424" w:firstLineChars="202"/>
        <w:rPr>
          <w:color w:val="auto"/>
          <w:sz w:val="21"/>
          <w:szCs w:val="21"/>
          <w:highlight w:val="none"/>
        </w:rPr>
      </w:pPr>
      <w:r>
        <w:rPr>
          <w:rFonts w:hint="eastAsia"/>
          <w:color w:val="auto"/>
          <w:sz w:val="21"/>
          <w:szCs w:val="21"/>
          <w:highlight w:val="none"/>
        </w:rPr>
        <w:t xml:space="preserve">A1.3磋商响应文件未按竞争性磋商文件的要求加盖单位公章或法定代表人未按要求签章的。 </w:t>
      </w:r>
    </w:p>
    <w:p w14:paraId="6B5BDE49">
      <w:pPr>
        <w:spacing w:line="460" w:lineRule="exact"/>
        <w:ind w:firstLine="424" w:firstLineChars="202"/>
        <w:rPr>
          <w:color w:val="auto"/>
          <w:sz w:val="21"/>
          <w:szCs w:val="21"/>
          <w:highlight w:val="none"/>
        </w:rPr>
      </w:pPr>
      <w:r>
        <w:rPr>
          <w:rFonts w:hint="eastAsia"/>
          <w:color w:val="auto"/>
          <w:sz w:val="21"/>
          <w:szCs w:val="21"/>
          <w:highlight w:val="none"/>
        </w:rPr>
        <w:t xml:space="preserve">A1.4磋商响应文件未按竞争性磋商文件规定的格式填写，内容不全或关键字迹模糊、无法辨认的； </w:t>
      </w:r>
    </w:p>
    <w:p w14:paraId="3E6B7C6C">
      <w:pPr>
        <w:spacing w:line="460" w:lineRule="exact"/>
        <w:ind w:firstLine="424" w:firstLineChars="202"/>
        <w:rPr>
          <w:color w:val="auto"/>
          <w:sz w:val="21"/>
          <w:szCs w:val="21"/>
          <w:highlight w:val="none"/>
        </w:rPr>
      </w:pPr>
      <w:r>
        <w:rPr>
          <w:rFonts w:hint="eastAsia"/>
          <w:color w:val="auto"/>
          <w:sz w:val="21"/>
          <w:szCs w:val="21"/>
          <w:highlight w:val="none"/>
        </w:rPr>
        <w:t>A1.5供应商递交两份或多份内容不同的磋商响应文件，或在一份磋商响应文件中对同一磋商项目报有两个或多个报价，且未声明哪一个有效。按竞争性磋商文件规定提交备选方案的除外；</w:t>
      </w:r>
    </w:p>
    <w:p w14:paraId="3C911646">
      <w:pPr>
        <w:spacing w:line="460" w:lineRule="exact"/>
        <w:ind w:firstLine="424" w:firstLineChars="202"/>
        <w:rPr>
          <w:color w:val="auto"/>
          <w:sz w:val="21"/>
          <w:szCs w:val="21"/>
          <w:highlight w:val="none"/>
        </w:rPr>
      </w:pPr>
      <w:r>
        <w:rPr>
          <w:rFonts w:hint="eastAsia"/>
          <w:color w:val="auto"/>
          <w:sz w:val="21"/>
          <w:szCs w:val="21"/>
          <w:highlight w:val="none"/>
        </w:rPr>
        <w:t>A1.6未按竞争性磋商文件要求提交磋商保证金或提交的保证金有瑕疵的；</w:t>
      </w:r>
    </w:p>
    <w:p w14:paraId="25104982">
      <w:pPr>
        <w:spacing w:line="460" w:lineRule="exact"/>
        <w:ind w:firstLine="424" w:firstLineChars="202"/>
        <w:rPr>
          <w:color w:val="auto"/>
          <w:sz w:val="21"/>
          <w:szCs w:val="21"/>
          <w:highlight w:val="none"/>
        </w:rPr>
      </w:pPr>
      <w:r>
        <w:rPr>
          <w:rFonts w:hint="eastAsia"/>
          <w:color w:val="auto"/>
          <w:sz w:val="21"/>
          <w:szCs w:val="21"/>
          <w:highlight w:val="none"/>
        </w:rPr>
        <w:t>A1.7磋商小组初步评审时若发现供应商报价存在有重大漏项、缺项，且在磋商响应文件中没有明确的阐述和承诺的；</w:t>
      </w:r>
    </w:p>
    <w:p w14:paraId="7CE0BE0A">
      <w:pPr>
        <w:spacing w:line="460" w:lineRule="exact"/>
        <w:ind w:firstLine="424" w:firstLineChars="202"/>
        <w:rPr>
          <w:color w:val="auto"/>
          <w:sz w:val="21"/>
          <w:szCs w:val="21"/>
          <w:highlight w:val="none"/>
        </w:rPr>
      </w:pPr>
      <w:r>
        <w:rPr>
          <w:rFonts w:hint="eastAsia"/>
          <w:color w:val="auto"/>
          <w:sz w:val="21"/>
          <w:szCs w:val="21"/>
          <w:highlight w:val="none"/>
        </w:rPr>
        <w:t>A1.8磋商小组初步评审时应认真审查各供应商磋商报价，若发现供应商的报价明显低于其他报价，且其磋商响应文件的磋商报价分析不能说明清楚的，使得其磋商报价可能低于其个别成本的，应当对该供应商进行询标。询标毕后，供应商应对磋商小组所提问题作出书面说明并按要求提供相关证明材料。供应商不能合理说明或者不能提供相关证明材料的，由磋商小组认定该供应商以低于成本报价磋商；</w:t>
      </w:r>
    </w:p>
    <w:p w14:paraId="54E78037">
      <w:pPr>
        <w:spacing w:line="460" w:lineRule="exact"/>
        <w:ind w:firstLine="424" w:firstLineChars="202"/>
        <w:rPr>
          <w:color w:val="auto"/>
          <w:sz w:val="21"/>
          <w:szCs w:val="21"/>
          <w:highlight w:val="none"/>
        </w:rPr>
      </w:pPr>
      <w:r>
        <w:rPr>
          <w:rFonts w:hint="eastAsia"/>
          <w:color w:val="auto"/>
          <w:sz w:val="21"/>
          <w:szCs w:val="21"/>
          <w:highlight w:val="none"/>
        </w:rPr>
        <w:t>A1.9供应商有以下情形之一的，取消其磋商资格：</w:t>
      </w:r>
    </w:p>
    <w:p w14:paraId="502E9E1D">
      <w:pPr>
        <w:spacing w:line="460" w:lineRule="exact"/>
        <w:ind w:firstLine="408"/>
        <w:rPr>
          <w:color w:val="auto"/>
          <w:sz w:val="21"/>
          <w:szCs w:val="21"/>
          <w:highlight w:val="none"/>
        </w:rPr>
      </w:pPr>
      <w:r>
        <w:rPr>
          <w:rFonts w:hint="eastAsia"/>
          <w:color w:val="auto"/>
          <w:sz w:val="21"/>
          <w:szCs w:val="21"/>
          <w:highlight w:val="none"/>
        </w:rPr>
        <w:t>（1）串通报价或弄虚作假或有其他违法行为的；</w:t>
      </w:r>
    </w:p>
    <w:p w14:paraId="27749A19">
      <w:pPr>
        <w:spacing w:line="460" w:lineRule="exact"/>
        <w:ind w:firstLine="424" w:firstLineChars="202"/>
        <w:rPr>
          <w:color w:val="auto"/>
          <w:sz w:val="21"/>
          <w:szCs w:val="21"/>
          <w:highlight w:val="none"/>
        </w:rPr>
      </w:pPr>
      <w:r>
        <w:rPr>
          <w:rFonts w:hint="eastAsia"/>
          <w:color w:val="auto"/>
          <w:sz w:val="21"/>
          <w:szCs w:val="21"/>
          <w:highlight w:val="none"/>
        </w:rPr>
        <w:t>（2）不按磋商小组要求澄清、说明或者更正的；</w:t>
      </w:r>
    </w:p>
    <w:p w14:paraId="3F488993">
      <w:pPr>
        <w:spacing w:line="460" w:lineRule="exact"/>
        <w:ind w:firstLine="424" w:firstLineChars="202"/>
        <w:rPr>
          <w:color w:val="auto"/>
          <w:sz w:val="21"/>
          <w:szCs w:val="21"/>
          <w:highlight w:val="none"/>
        </w:rPr>
      </w:pPr>
      <w:r>
        <w:rPr>
          <w:rFonts w:hint="eastAsia"/>
          <w:color w:val="auto"/>
          <w:sz w:val="21"/>
          <w:szCs w:val="21"/>
          <w:highlight w:val="none"/>
        </w:rPr>
        <w:t>（3）在磋商响应文件上签章与其他供应商在磋商响应文件上的签章相同的；</w:t>
      </w:r>
    </w:p>
    <w:p w14:paraId="5CD293BC">
      <w:pPr>
        <w:spacing w:line="460" w:lineRule="exact"/>
        <w:ind w:firstLine="424" w:firstLineChars="202"/>
        <w:rPr>
          <w:color w:val="auto"/>
          <w:sz w:val="21"/>
          <w:szCs w:val="21"/>
          <w:highlight w:val="none"/>
        </w:rPr>
      </w:pPr>
      <w:r>
        <w:rPr>
          <w:rFonts w:hint="eastAsia"/>
          <w:color w:val="auto"/>
          <w:sz w:val="21"/>
          <w:szCs w:val="21"/>
          <w:highlight w:val="none"/>
        </w:rPr>
        <w:t>（4）不同供应商的磋商响应文件内容存在非正常一致的。</w:t>
      </w:r>
    </w:p>
    <w:p w14:paraId="157A6A24">
      <w:pPr>
        <w:spacing w:line="460" w:lineRule="exact"/>
        <w:ind w:firstLine="424" w:firstLineChars="202"/>
        <w:rPr>
          <w:color w:val="auto"/>
          <w:sz w:val="21"/>
          <w:szCs w:val="21"/>
          <w:highlight w:val="none"/>
        </w:rPr>
      </w:pPr>
      <w:r>
        <w:rPr>
          <w:rFonts w:hint="eastAsia"/>
          <w:color w:val="auto"/>
          <w:sz w:val="21"/>
          <w:szCs w:val="21"/>
          <w:highlight w:val="none"/>
        </w:rPr>
        <w:t>A1.10磋商响应文件如果出现计算或表达上的错误，修正错误的原则如下：</w:t>
      </w:r>
    </w:p>
    <w:p w14:paraId="1446AE90">
      <w:pPr>
        <w:spacing w:line="460" w:lineRule="exact"/>
        <w:ind w:firstLine="404" w:firstLineChars="202"/>
        <w:rPr>
          <w:color w:val="auto"/>
          <w:sz w:val="21"/>
          <w:szCs w:val="21"/>
          <w:highlight w:val="none"/>
        </w:rPr>
      </w:pPr>
      <w:r>
        <w:rPr>
          <w:rFonts w:hint="eastAsia"/>
          <w:color w:val="auto"/>
          <w:szCs w:val="21"/>
          <w:highlight w:val="none"/>
        </w:rPr>
        <w:t>（</w:t>
      </w:r>
      <w:r>
        <w:rPr>
          <w:rFonts w:hint="eastAsia"/>
          <w:color w:val="auto"/>
          <w:sz w:val="21"/>
          <w:szCs w:val="21"/>
          <w:highlight w:val="none"/>
        </w:rPr>
        <w:t>1）报价的大写金额和小写金额不一致的，以大写金额为准；</w:t>
      </w:r>
    </w:p>
    <w:p w14:paraId="76A388BA">
      <w:pPr>
        <w:spacing w:line="460" w:lineRule="exact"/>
        <w:ind w:firstLine="424" w:firstLineChars="202"/>
        <w:rPr>
          <w:color w:val="auto"/>
          <w:sz w:val="21"/>
          <w:szCs w:val="21"/>
          <w:highlight w:val="none"/>
        </w:rPr>
      </w:pPr>
      <w:r>
        <w:rPr>
          <w:rFonts w:hint="eastAsia"/>
          <w:color w:val="auto"/>
          <w:sz w:val="21"/>
          <w:szCs w:val="21"/>
          <w:highlight w:val="none"/>
        </w:rPr>
        <w:t>（2）总价金额与按单价汇总金额不一致的，以单价金额计算结果为准；</w:t>
      </w:r>
    </w:p>
    <w:p w14:paraId="7AC12D2B">
      <w:pPr>
        <w:spacing w:line="460" w:lineRule="exact"/>
        <w:ind w:firstLine="424" w:firstLineChars="202"/>
        <w:rPr>
          <w:color w:val="auto"/>
          <w:sz w:val="21"/>
          <w:szCs w:val="21"/>
          <w:highlight w:val="none"/>
        </w:rPr>
      </w:pPr>
      <w:r>
        <w:rPr>
          <w:rFonts w:hint="eastAsia"/>
          <w:color w:val="auto"/>
          <w:sz w:val="21"/>
          <w:szCs w:val="21"/>
          <w:highlight w:val="none"/>
        </w:rPr>
        <w:t>（3）单价金额小数点有明显错位的，应以总价为准，并修改单价；</w:t>
      </w:r>
    </w:p>
    <w:p w14:paraId="5FEED683">
      <w:pPr>
        <w:spacing w:line="460" w:lineRule="exact"/>
        <w:ind w:firstLine="424" w:firstLineChars="202"/>
        <w:rPr>
          <w:color w:val="auto"/>
          <w:sz w:val="21"/>
          <w:szCs w:val="21"/>
          <w:highlight w:val="none"/>
        </w:rPr>
      </w:pPr>
      <w:r>
        <w:rPr>
          <w:rFonts w:hint="eastAsia"/>
          <w:color w:val="auto"/>
          <w:sz w:val="21"/>
          <w:szCs w:val="21"/>
          <w:highlight w:val="none"/>
        </w:rPr>
        <w:t>（4）对不同文字文本磋商响应文件的解释发生异议的，以中文文本为准。</w:t>
      </w:r>
    </w:p>
    <w:p w14:paraId="68A83E39">
      <w:pPr>
        <w:spacing w:line="460" w:lineRule="exact"/>
        <w:ind w:firstLine="424" w:firstLineChars="202"/>
        <w:rPr>
          <w:color w:val="auto"/>
          <w:sz w:val="21"/>
          <w:szCs w:val="21"/>
          <w:highlight w:val="none"/>
        </w:rPr>
      </w:pPr>
      <w:r>
        <w:rPr>
          <w:rFonts w:hint="eastAsia"/>
          <w:color w:val="auto"/>
          <w:sz w:val="21"/>
          <w:szCs w:val="21"/>
          <w:highlight w:val="none"/>
        </w:rPr>
        <w:t>（5）按上述修正错误的原则及方法调整或修正磋商响应文件的报价，供应商同意后，调整后的报价对供应商起约束作用。如果供应商不接受修正后的报价，则其申请将被拒绝并且其保证金也将被没收。</w:t>
      </w:r>
    </w:p>
    <w:p w14:paraId="1967FA5C">
      <w:pPr>
        <w:spacing w:line="460" w:lineRule="exact"/>
        <w:ind w:firstLine="424" w:firstLineChars="202"/>
        <w:rPr>
          <w:color w:val="auto"/>
          <w:sz w:val="21"/>
          <w:szCs w:val="21"/>
          <w:highlight w:val="none"/>
        </w:rPr>
      </w:pPr>
      <w:r>
        <w:rPr>
          <w:rFonts w:hint="eastAsia"/>
          <w:color w:val="auto"/>
          <w:sz w:val="21"/>
          <w:szCs w:val="21"/>
          <w:highlight w:val="none"/>
        </w:rPr>
        <w:t>A1.11 不符合竞争性磋商文件实质性要求的或磋商响应性文件附有发包人不能接受的条件的。</w:t>
      </w:r>
    </w:p>
    <w:p w14:paraId="44FC533E">
      <w:pPr>
        <w:rPr>
          <w:color w:val="auto"/>
          <w:highlight w:val="none"/>
        </w:rPr>
      </w:pPr>
      <w:r>
        <w:rPr>
          <w:b/>
          <w:bCs/>
          <w:color w:val="auto"/>
          <w:sz w:val="21"/>
          <w:szCs w:val="21"/>
          <w:highlight w:val="none"/>
        </w:rPr>
        <w:br w:type="page"/>
      </w:r>
    </w:p>
    <w:p w14:paraId="1F1257BA">
      <w:pPr>
        <w:pStyle w:val="2"/>
        <w:spacing w:line="360" w:lineRule="auto"/>
        <w:jc w:val="center"/>
        <w:rPr>
          <w:rFonts w:eastAsia="黑体"/>
          <w:color w:val="auto"/>
          <w:sz w:val="36"/>
          <w:szCs w:val="36"/>
          <w:highlight w:val="none"/>
        </w:rPr>
      </w:pPr>
      <w:bookmarkStart w:id="133" w:name="_Toc240288659"/>
      <w:bookmarkStart w:id="134" w:name="_Toc30650"/>
      <w:bookmarkStart w:id="135" w:name="_Toc243176592"/>
      <w:bookmarkStart w:id="136" w:name="_Toc16226"/>
      <w:r>
        <w:rPr>
          <w:rFonts w:eastAsia="黑体"/>
          <w:color w:val="auto"/>
          <w:sz w:val="36"/>
          <w:szCs w:val="36"/>
          <w:highlight w:val="none"/>
        </w:rPr>
        <w:t>第</w:t>
      </w:r>
      <w:r>
        <w:rPr>
          <w:rFonts w:hint="eastAsia" w:eastAsia="黑体"/>
          <w:color w:val="auto"/>
          <w:sz w:val="36"/>
          <w:szCs w:val="36"/>
          <w:highlight w:val="none"/>
        </w:rPr>
        <w:t>四</w:t>
      </w:r>
      <w:r>
        <w:rPr>
          <w:rFonts w:eastAsia="黑体"/>
          <w:color w:val="auto"/>
          <w:sz w:val="36"/>
          <w:szCs w:val="36"/>
          <w:highlight w:val="none"/>
        </w:rPr>
        <w:t xml:space="preserve">章  </w:t>
      </w:r>
      <w:r>
        <w:rPr>
          <w:rFonts w:hint="eastAsia" w:eastAsia="黑体"/>
          <w:color w:val="auto"/>
          <w:sz w:val="36"/>
          <w:szCs w:val="36"/>
          <w:highlight w:val="none"/>
        </w:rPr>
        <w:t>合同条款及格式</w:t>
      </w:r>
      <w:bookmarkEnd w:id="133"/>
      <w:bookmarkEnd w:id="134"/>
      <w:bookmarkEnd w:id="135"/>
    </w:p>
    <w:p w14:paraId="1DBC4B1F">
      <w:pPr>
        <w:jc w:val="center"/>
        <w:rPr>
          <w:color w:val="auto"/>
          <w:sz w:val="24"/>
          <w:szCs w:val="24"/>
          <w:highlight w:val="none"/>
        </w:rPr>
      </w:pPr>
      <w:r>
        <w:rPr>
          <w:color w:val="auto"/>
          <w:sz w:val="21"/>
          <w:szCs w:val="21"/>
          <w:highlight w:val="none"/>
        </w:rPr>
        <w:t>成交后</w:t>
      </w:r>
      <w:r>
        <w:rPr>
          <w:rFonts w:hint="eastAsia"/>
          <w:color w:val="auto"/>
          <w:sz w:val="21"/>
          <w:szCs w:val="21"/>
          <w:highlight w:val="none"/>
        </w:rPr>
        <w:t>双方协商</w:t>
      </w:r>
      <w:r>
        <w:rPr>
          <w:color w:val="auto"/>
          <w:sz w:val="21"/>
          <w:szCs w:val="21"/>
          <w:highlight w:val="none"/>
        </w:rPr>
        <w:t>签订合同，但不得改变本次</w:t>
      </w:r>
      <w:r>
        <w:rPr>
          <w:rFonts w:hint="eastAsia"/>
          <w:color w:val="auto"/>
          <w:sz w:val="21"/>
          <w:szCs w:val="21"/>
          <w:highlight w:val="none"/>
        </w:rPr>
        <w:t>磋商</w:t>
      </w:r>
      <w:r>
        <w:rPr>
          <w:color w:val="auto"/>
          <w:sz w:val="21"/>
          <w:szCs w:val="21"/>
          <w:highlight w:val="none"/>
        </w:rPr>
        <w:t>的实质性内容。</w:t>
      </w:r>
    </w:p>
    <w:p w14:paraId="5B9AA1DA">
      <w:pPr>
        <w:jc w:val="center"/>
        <w:rPr>
          <w:color w:val="auto"/>
          <w:sz w:val="48"/>
          <w:szCs w:val="48"/>
          <w:highlight w:val="none"/>
        </w:rPr>
      </w:pPr>
    </w:p>
    <w:p w14:paraId="56400DDF">
      <w:pPr>
        <w:jc w:val="center"/>
        <w:rPr>
          <w:color w:val="auto"/>
          <w:sz w:val="48"/>
          <w:szCs w:val="48"/>
          <w:highlight w:val="none"/>
        </w:rPr>
      </w:pPr>
    </w:p>
    <w:p w14:paraId="72611081">
      <w:pPr>
        <w:jc w:val="center"/>
        <w:rPr>
          <w:color w:val="auto"/>
          <w:sz w:val="48"/>
          <w:szCs w:val="48"/>
          <w:highlight w:val="none"/>
        </w:rPr>
      </w:pPr>
    </w:p>
    <w:p w14:paraId="10C325AB">
      <w:pPr>
        <w:jc w:val="center"/>
        <w:rPr>
          <w:color w:val="auto"/>
          <w:sz w:val="160"/>
          <w:szCs w:val="160"/>
          <w:highlight w:val="none"/>
        </w:rPr>
      </w:pPr>
      <w:r>
        <w:rPr>
          <w:rFonts w:hint="eastAsia"/>
          <w:color w:val="auto"/>
          <w:sz w:val="36"/>
          <w:szCs w:val="36"/>
          <w:highlight w:val="none"/>
          <w:lang w:eastAsia="zh-CN"/>
        </w:rPr>
        <w:t>云南民族村整体改造及运营提升专项法律服务项目</w:t>
      </w:r>
      <w:r>
        <w:rPr>
          <w:color w:val="auto"/>
          <w:sz w:val="36"/>
          <w:szCs w:val="36"/>
          <w:highlight w:val="none"/>
        </w:rPr>
        <w:t>合同</w:t>
      </w:r>
    </w:p>
    <w:p w14:paraId="2988CDE4">
      <w:pPr>
        <w:jc w:val="center"/>
        <w:rPr>
          <w:color w:val="auto"/>
          <w:sz w:val="48"/>
          <w:szCs w:val="48"/>
          <w:highlight w:val="none"/>
        </w:rPr>
      </w:pPr>
    </w:p>
    <w:p w14:paraId="004F6339">
      <w:pPr>
        <w:jc w:val="center"/>
        <w:rPr>
          <w:color w:val="auto"/>
          <w:sz w:val="48"/>
          <w:szCs w:val="48"/>
          <w:highlight w:val="none"/>
        </w:rPr>
      </w:pPr>
    </w:p>
    <w:p w14:paraId="009E2873">
      <w:pPr>
        <w:jc w:val="center"/>
        <w:rPr>
          <w:color w:val="auto"/>
          <w:sz w:val="48"/>
          <w:szCs w:val="48"/>
          <w:highlight w:val="none"/>
        </w:rPr>
      </w:pPr>
    </w:p>
    <w:p w14:paraId="4E8273BB">
      <w:pPr>
        <w:jc w:val="center"/>
        <w:rPr>
          <w:color w:val="auto"/>
          <w:sz w:val="48"/>
          <w:szCs w:val="48"/>
          <w:highlight w:val="none"/>
        </w:rPr>
      </w:pPr>
    </w:p>
    <w:p w14:paraId="7D9EBEBC">
      <w:pPr>
        <w:jc w:val="center"/>
        <w:rPr>
          <w:color w:val="auto"/>
          <w:sz w:val="48"/>
          <w:szCs w:val="48"/>
          <w:highlight w:val="none"/>
        </w:rPr>
      </w:pPr>
    </w:p>
    <w:p w14:paraId="4E0823BD">
      <w:pPr>
        <w:jc w:val="center"/>
        <w:rPr>
          <w:color w:val="auto"/>
          <w:sz w:val="48"/>
          <w:szCs w:val="48"/>
          <w:highlight w:val="none"/>
        </w:rPr>
      </w:pPr>
    </w:p>
    <w:p w14:paraId="294FE3CD">
      <w:pPr>
        <w:jc w:val="center"/>
        <w:rPr>
          <w:color w:val="auto"/>
          <w:sz w:val="48"/>
          <w:szCs w:val="48"/>
          <w:highlight w:val="none"/>
        </w:rPr>
      </w:pPr>
    </w:p>
    <w:p w14:paraId="78E2F6A7">
      <w:pPr>
        <w:jc w:val="center"/>
        <w:rPr>
          <w:color w:val="auto"/>
          <w:sz w:val="48"/>
          <w:szCs w:val="48"/>
          <w:highlight w:val="none"/>
        </w:rPr>
      </w:pPr>
    </w:p>
    <w:p w14:paraId="361D53F0">
      <w:pPr>
        <w:jc w:val="center"/>
        <w:rPr>
          <w:color w:val="auto"/>
          <w:sz w:val="48"/>
          <w:szCs w:val="48"/>
          <w:highlight w:val="none"/>
        </w:rPr>
      </w:pPr>
    </w:p>
    <w:p w14:paraId="1E29EDFD">
      <w:pPr>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甲方：</w:t>
      </w:r>
      <w:r>
        <w:rPr>
          <w:rFonts w:ascii="仿宋" w:hAnsi="仿宋" w:eastAsia="仿宋" w:cs="仿宋"/>
          <w:color w:val="auto"/>
          <w:sz w:val="32"/>
          <w:szCs w:val="32"/>
          <w:highlight w:val="none"/>
        </w:rPr>
        <w:t>云南民族村有限责任公司</w:t>
      </w:r>
    </w:p>
    <w:p w14:paraId="499BC78B">
      <w:pPr>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乙方：</w:t>
      </w:r>
      <w:r>
        <w:rPr>
          <w:rFonts w:hint="eastAsia" w:ascii="仿宋" w:hAnsi="仿宋" w:eastAsia="仿宋" w:cs="仿宋"/>
          <w:color w:val="auto"/>
          <w:sz w:val="32"/>
          <w:szCs w:val="32"/>
          <w:highlight w:val="none"/>
          <w:u w:val="single"/>
        </w:rPr>
        <w:t xml:space="preserve">                             </w:t>
      </w:r>
    </w:p>
    <w:p w14:paraId="78430805">
      <w:pPr>
        <w:rPr>
          <w:color w:val="auto"/>
          <w:highlight w:val="none"/>
        </w:rPr>
      </w:pPr>
      <w:r>
        <w:rPr>
          <w:rFonts w:ascii="宋体" w:hAnsi="宋体"/>
          <w:color w:val="auto"/>
          <w:highlight w:val="none"/>
        </w:rPr>
        <w:t>（提示：本合同为合同模板，乙方名称、统一社会信用代码、法定代表人、地址、账户、联系人及团队人员等信息应由成交供应商在成交后填写）</w:t>
      </w:r>
    </w:p>
    <w:p w14:paraId="3E979091">
      <w:pPr>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签订日期：2026年  月  日</w:t>
      </w:r>
    </w:p>
    <w:p w14:paraId="5791E21E">
      <w:pPr>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br w:type="page"/>
      </w:r>
    </w:p>
    <w:p w14:paraId="129C71C4">
      <w:pPr>
        <w:spacing w:line="360" w:lineRule="auto"/>
        <w:jc w:val="center"/>
        <w:rPr>
          <w:rFonts w:hint="eastAsia" w:ascii="仿宋" w:hAnsi="仿宋" w:eastAsia="仿宋" w:cs="仿宋"/>
          <w:bCs/>
          <w:color w:val="auto"/>
          <w:szCs w:val="21"/>
          <w:highlight w:val="none"/>
        </w:rPr>
      </w:pPr>
    </w:p>
    <w:p w14:paraId="16C53004">
      <w:pPr>
        <w:pStyle w:val="2"/>
        <w:spacing w:line="480" w:lineRule="exact"/>
        <w:jc w:val="center"/>
        <w:rPr>
          <w:rFonts w:eastAsia="黑体"/>
          <w:color w:val="auto"/>
          <w:sz w:val="36"/>
          <w:szCs w:val="36"/>
          <w:highlight w:val="none"/>
        </w:rPr>
      </w:pPr>
      <w:bookmarkStart w:id="137" w:name="_Toc243176593"/>
      <w:bookmarkStart w:id="138" w:name="_Toc240288674"/>
      <w:r>
        <w:rPr>
          <w:rFonts w:eastAsia="黑体"/>
          <w:color w:val="auto"/>
          <w:sz w:val="36"/>
          <w:szCs w:val="36"/>
          <w:highlight w:val="none"/>
        </w:rPr>
        <w:t>第五章</w:t>
      </w:r>
      <w:r>
        <w:rPr>
          <w:rFonts w:hint="eastAsia" w:eastAsia="黑体"/>
          <w:color w:val="auto"/>
          <w:sz w:val="36"/>
          <w:szCs w:val="36"/>
          <w:highlight w:val="none"/>
        </w:rPr>
        <w:t xml:space="preserve">  服务要求</w:t>
      </w:r>
      <w:bookmarkEnd w:id="136"/>
      <w:bookmarkEnd w:id="137"/>
      <w:bookmarkEnd w:id="138"/>
    </w:p>
    <w:p w14:paraId="25CFCBB1">
      <w:pPr>
        <w:spacing w:line="360" w:lineRule="auto"/>
        <w:rPr>
          <w:color w:val="auto"/>
          <w:highlight w:val="none"/>
        </w:rPr>
      </w:pPr>
      <w:r>
        <w:rPr>
          <w:rFonts w:hint="eastAsia" w:ascii="宋体" w:hAnsi="宋体" w:cs="宋体"/>
          <w:b/>
          <w:color w:val="auto"/>
          <w:kern w:val="2"/>
          <w:sz w:val="28"/>
          <w:szCs w:val="28"/>
          <w:highlight w:val="none"/>
        </w:rPr>
        <w:t>一、项目描述</w:t>
      </w:r>
    </w:p>
    <w:p w14:paraId="2FC60EA8">
      <w:pPr>
        <w:pStyle w:val="47"/>
        <w:spacing w:line="360" w:lineRule="auto"/>
        <w:ind w:firstLine="480" w:firstLineChars="200"/>
        <w:rPr>
          <w:rFonts w:hint="eastAsia" w:ascii="宋体" w:hAnsi="宋体" w:eastAsia="宋体" w:cs="宋体"/>
          <w:color w:val="auto"/>
          <w:sz w:val="36"/>
          <w:szCs w:val="36"/>
          <w:highlight w:val="none"/>
          <w:lang w:eastAsia="zh-CN"/>
        </w:rPr>
      </w:pPr>
      <w:r>
        <w:rPr>
          <w:color w:val="auto"/>
          <w:sz w:val="24"/>
          <w:szCs w:val="24"/>
          <w:highlight w:val="none"/>
        </w:rPr>
        <w:t>1.项目名称：</w:t>
      </w:r>
      <w:r>
        <w:rPr>
          <w:rFonts w:hint="eastAsia"/>
          <w:color w:val="auto"/>
          <w:sz w:val="24"/>
          <w:szCs w:val="24"/>
          <w:highlight w:val="none"/>
          <w:lang w:eastAsia="zh-CN"/>
        </w:rPr>
        <w:t>云南民族村整体改造及运营提升专项法律服务项目</w:t>
      </w:r>
    </w:p>
    <w:p w14:paraId="5C2D1633">
      <w:pPr>
        <w:pStyle w:val="47"/>
        <w:spacing w:line="360" w:lineRule="auto"/>
        <w:ind w:firstLine="480" w:firstLineChars="200"/>
        <w:rPr>
          <w:rFonts w:hint="eastAsia" w:ascii="宋体" w:hAnsi="宋体" w:cs="宋体"/>
          <w:color w:val="auto"/>
          <w:sz w:val="36"/>
          <w:szCs w:val="36"/>
          <w:highlight w:val="none"/>
        </w:rPr>
      </w:pPr>
      <w:r>
        <w:rPr>
          <w:color w:val="auto"/>
          <w:sz w:val="24"/>
          <w:szCs w:val="24"/>
          <w:highlight w:val="none"/>
        </w:rPr>
        <w:t>2.项目概况：云南民族村有限责任公司（以下简称“民族村”）系国有企业，前身为事业单位，1999年完成改制，长期经营“民族村公园”景区。公司目前尚存贷款未清偿完毕，并承担向集团借款等资金安排，整体资产、资信状况有待全面梳理。关键时间节点为：2026年10月18日左右发布法律服务机构招标公告，2026年11月20日前启动第三方合作方招标；投资决策分析报告机构、招标代理机构正在选聘，律师事务所需同步介入。</w:t>
      </w:r>
    </w:p>
    <w:p w14:paraId="48B99431">
      <w:pPr>
        <w:pStyle w:val="102"/>
        <w:rPr>
          <w:rFonts w:hint="eastAsia" w:cs="宋体"/>
          <w:b/>
          <w:bCs/>
          <w:color w:val="auto"/>
          <w:highlight w:val="none"/>
          <w:lang w:val="zh-TW"/>
        </w:rPr>
      </w:pPr>
      <w:r>
        <w:rPr>
          <w:rFonts w:hint="eastAsia" w:cs="宋体"/>
          <w:b/>
          <w:color w:val="auto"/>
          <w:sz w:val="28"/>
          <w:szCs w:val="28"/>
          <w:highlight w:val="none"/>
        </w:rPr>
        <w:t>二、服务内容及服务要求</w:t>
      </w:r>
    </w:p>
    <w:p w14:paraId="12770AB3">
      <w:pPr>
        <w:pStyle w:val="102"/>
        <w:ind w:firstLine="480" w:firstLineChars="200"/>
        <w:rPr>
          <w:rFonts w:hint="eastAsia" w:cs="宋体"/>
          <w:b/>
          <w:bCs/>
          <w:color w:val="auto"/>
          <w:highlight w:val="none"/>
          <w:lang w:val="zh-TW"/>
        </w:rPr>
      </w:pPr>
      <w:r>
        <w:rPr>
          <w:color w:val="auto"/>
          <w:highlight w:val="none"/>
        </w:rPr>
        <w:t>本项目法律服务按专项模块划分，各模块均包含“服务内容、重点注意、成果文件”三个层面，具体如下：</w:t>
      </w:r>
    </w:p>
    <w:p w14:paraId="7BE221E8">
      <w:pPr>
        <w:pStyle w:val="102"/>
        <w:ind w:firstLine="480" w:firstLineChars="200"/>
        <w:rPr>
          <w:rFonts w:hint="eastAsia" w:cs="宋体"/>
          <w:b/>
          <w:bCs/>
          <w:color w:val="auto"/>
          <w:highlight w:val="none"/>
          <w:lang w:val="zh-TW"/>
        </w:rPr>
      </w:pPr>
      <w:r>
        <w:rPr>
          <w:color w:val="auto"/>
          <w:highlight w:val="none"/>
        </w:rPr>
        <w:t>（一）合作模式与交易结构论证</w:t>
      </w:r>
    </w:p>
    <w:p w14:paraId="2D3BB9EB">
      <w:pPr>
        <w:pStyle w:val="102"/>
        <w:ind w:firstLine="480" w:firstLineChars="200"/>
        <w:rPr>
          <w:rFonts w:hint="eastAsia" w:cs="宋体"/>
          <w:b/>
          <w:bCs/>
          <w:color w:val="auto"/>
          <w:highlight w:val="none"/>
          <w:lang w:val="zh-TW"/>
        </w:rPr>
      </w:pPr>
      <w:r>
        <w:rPr>
          <w:color w:val="auto"/>
          <w:highlight w:val="none"/>
        </w:rPr>
        <w:t>服务内容：对特许经营、委托运营、合资合作、投资改造加运营等模式进行法律比选，确定最适合本项目的交易结构；论证运营权移交、门票收费、演艺IP投入等安排的法律定性，厘清各方法律关系；就三方合作的权责架构、出资与收益分配提出法律方案。</w:t>
      </w:r>
    </w:p>
    <w:p w14:paraId="675830EE">
      <w:pPr>
        <w:pStyle w:val="102"/>
        <w:ind w:firstLine="480" w:firstLineChars="200"/>
        <w:rPr>
          <w:rFonts w:hint="eastAsia" w:cs="宋体"/>
          <w:b/>
          <w:bCs/>
          <w:color w:val="auto"/>
          <w:highlight w:val="none"/>
          <w:lang w:val="zh-TW"/>
        </w:rPr>
      </w:pPr>
      <w:r>
        <w:rPr>
          <w:color w:val="auto"/>
          <w:highlight w:val="none"/>
        </w:rPr>
        <w:t>重点注意：交易定性风险。</w:t>
      </w:r>
    </w:p>
    <w:p w14:paraId="3D59FC05">
      <w:pPr>
        <w:pStyle w:val="102"/>
        <w:ind w:firstLine="480" w:firstLineChars="200"/>
        <w:rPr>
          <w:rFonts w:hint="eastAsia" w:cs="宋体"/>
          <w:b/>
          <w:bCs/>
          <w:color w:val="auto"/>
          <w:highlight w:val="none"/>
          <w:lang w:val="zh-TW"/>
        </w:rPr>
      </w:pPr>
      <w:r>
        <w:rPr>
          <w:color w:val="auto"/>
          <w:highlight w:val="none"/>
        </w:rPr>
        <w:t>可能涉及的成果文件：</w:t>
      </w:r>
      <w:r>
        <w:rPr>
          <w:rFonts w:hint="eastAsia"/>
          <w:color w:val="auto"/>
          <w:highlight w:val="none"/>
        </w:rPr>
        <w:t>包括但不限于</w:t>
      </w:r>
      <w:r>
        <w:rPr>
          <w:color w:val="auto"/>
          <w:highlight w:val="none"/>
        </w:rPr>
        <w:t>《合作模式法律比选与交易结构论证意见》《三方合作权责架构与出资收益分配方案》</w:t>
      </w:r>
      <w:r>
        <w:rPr>
          <w:rFonts w:hint="eastAsia"/>
          <w:color w:val="auto"/>
          <w:highlight w:val="none"/>
        </w:rPr>
        <w:t>等</w:t>
      </w:r>
      <w:r>
        <w:rPr>
          <w:color w:val="auto"/>
          <w:highlight w:val="none"/>
        </w:rPr>
        <w:t>。</w:t>
      </w:r>
    </w:p>
    <w:p w14:paraId="40261253">
      <w:pPr>
        <w:pStyle w:val="102"/>
        <w:ind w:firstLine="480" w:firstLineChars="200"/>
        <w:rPr>
          <w:rFonts w:hint="eastAsia" w:cs="宋体"/>
          <w:b/>
          <w:bCs/>
          <w:color w:val="auto"/>
          <w:highlight w:val="none"/>
          <w:lang w:val="zh-TW"/>
        </w:rPr>
      </w:pPr>
      <w:r>
        <w:rPr>
          <w:color w:val="auto"/>
          <w:highlight w:val="none"/>
        </w:rPr>
        <w:t>（二）尽职调查与资产梳理</w:t>
      </w:r>
    </w:p>
    <w:p w14:paraId="0F99D113">
      <w:pPr>
        <w:pStyle w:val="102"/>
        <w:ind w:firstLine="480" w:firstLineChars="200"/>
        <w:rPr>
          <w:rFonts w:hint="eastAsia" w:cs="宋体"/>
          <w:b/>
          <w:bCs/>
          <w:color w:val="auto"/>
          <w:highlight w:val="none"/>
          <w:lang w:val="zh-TW"/>
        </w:rPr>
      </w:pPr>
      <w:r>
        <w:rPr>
          <w:color w:val="auto"/>
          <w:highlight w:val="none"/>
        </w:rPr>
        <w:t>服务内容：对中标单位及其股东的工商登记、股权结构、经营资质、诉讼与被执行情况、信用记录进行核查；系统梳理民族村现有资产（含固定资产、土地使用权、无形资产、数据资产）的权属现状与评估价值；编制资产清单与债权债务清单，厘清存量债权债务的承担主体。</w:t>
      </w:r>
    </w:p>
    <w:p w14:paraId="1AF66DFE">
      <w:pPr>
        <w:pStyle w:val="102"/>
        <w:ind w:firstLine="480" w:firstLineChars="200"/>
        <w:rPr>
          <w:rFonts w:hint="eastAsia" w:cs="宋体"/>
          <w:b/>
          <w:bCs/>
          <w:color w:val="auto"/>
          <w:highlight w:val="none"/>
          <w:lang w:val="zh-TW"/>
        </w:rPr>
      </w:pPr>
      <w:r>
        <w:rPr>
          <w:color w:val="auto"/>
          <w:highlight w:val="none"/>
        </w:rPr>
        <w:t>重点注意：资产流失风险。资产权属不清或评估值失真将导致国有资产流失，须逐项核查权属现状；历史遗留问题与现状移交情况须一并纳入核查范围。</w:t>
      </w:r>
    </w:p>
    <w:p w14:paraId="7AE66390">
      <w:pPr>
        <w:pStyle w:val="102"/>
        <w:ind w:firstLine="480" w:firstLineChars="200"/>
        <w:rPr>
          <w:rFonts w:hint="eastAsia" w:cs="宋体"/>
          <w:b/>
          <w:bCs/>
          <w:color w:val="auto"/>
          <w:highlight w:val="none"/>
          <w:lang w:val="zh-TW"/>
        </w:rPr>
      </w:pPr>
      <w:r>
        <w:rPr>
          <w:color w:val="auto"/>
          <w:highlight w:val="none"/>
        </w:rPr>
        <w:t>可能涉及的成果文件：</w:t>
      </w:r>
      <w:r>
        <w:rPr>
          <w:rFonts w:hint="eastAsia"/>
          <w:color w:val="auto"/>
          <w:highlight w:val="none"/>
        </w:rPr>
        <w:t>包括但不限于</w:t>
      </w:r>
      <w:r>
        <w:rPr>
          <w:color w:val="auto"/>
          <w:highlight w:val="none"/>
        </w:rPr>
        <w:t>《中标单位及其股东的尽职调查报告》《民族村资产与债权债务清单》《资产权属与评估情况核查意见》</w:t>
      </w:r>
      <w:r>
        <w:rPr>
          <w:rFonts w:hint="eastAsia"/>
          <w:color w:val="auto"/>
          <w:highlight w:val="none"/>
        </w:rPr>
        <w:t>等</w:t>
      </w:r>
      <w:r>
        <w:rPr>
          <w:color w:val="auto"/>
          <w:highlight w:val="none"/>
        </w:rPr>
        <w:t>。</w:t>
      </w:r>
    </w:p>
    <w:p w14:paraId="738697A6">
      <w:pPr>
        <w:pStyle w:val="102"/>
        <w:ind w:firstLine="480" w:firstLineChars="200"/>
        <w:rPr>
          <w:rFonts w:hint="eastAsia" w:cs="宋体"/>
          <w:b/>
          <w:bCs/>
          <w:color w:val="auto"/>
          <w:highlight w:val="none"/>
          <w:lang w:val="zh-TW"/>
        </w:rPr>
      </w:pPr>
      <w:r>
        <w:rPr>
          <w:color w:val="auto"/>
          <w:highlight w:val="none"/>
        </w:rPr>
        <w:t>（三）国有资产与程序合规</w:t>
      </w:r>
    </w:p>
    <w:p w14:paraId="0D74C3C1">
      <w:pPr>
        <w:pStyle w:val="102"/>
        <w:ind w:firstLine="480" w:firstLineChars="200"/>
        <w:rPr>
          <w:rFonts w:hint="eastAsia" w:cs="宋体"/>
          <w:b/>
          <w:bCs/>
          <w:color w:val="auto"/>
          <w:highlight w:val="none"/>
          <w:lang w:val="zh-TW"/>
        </w:rPr>
      </w:pPr>
      <w:r>
        <w:rPr>
          <w:color w:val="auto"/>
          <w:highlight w:val="none"/>
        </w:rPr>
        <w:t>服务内容：依据《中华人民共和国企业国有资产法》《企业国有资产评估管理暂行办法》《企业国有资产交易监督管理办法》等，协助履行评估、审计、清产核资程序；研判运营权移交及资产处置是否须进场交易、以何种方式公开选择合作方；全程指导并监督招标公告发布、开标评标、定标及中标通知等程序，确保公开、公平、公正；防范关联交易、利益输送与暗箱操作，明确国企履职责任边界。</w:t>
      </w:r>
    </w:p>
    <w:p w14:paraId="53866DBF">
      <w:pPr>
        <w:pStyle w:val="102"/>
        <w:ind w:firstLine="480" w:firstLineChars="200"/>
        <w:rPr>
          <w:rFonts w:hint="eastAsia" w:cs="宋体"/>
          <w:b/>
          <w:bCs/>
          <w:color w:val="auto"/>
          <w:highlight w:val="none"/>
          <w:lang w:val="zh-TW"/>
        </w:rPr>
      </w:pPr>
      <w:r>
        <w:rPr>
          <w:color w:val="auto"/>
          <w:highlight w:val="none"/>
        </w:rPr>
        <w:t>重点注意：程序风险是首要源头，必须全程留痕；交易方式的选择须取得有权机关批准；程序瑕疵不可事后补正，须在节点前完成合规审查。</w:t>
      </w:r>
    </w:p>
    <w:p w14:paraId="672D1FC9">
      <w:pPr>
        <w:pStyle w:val="102"/>
        <w:ind w:firstLine="480" w:firstLineChars="200"/>
        <w:rPr>
          <w:rFonts w:hint="eastAsia" w:cs="宋体"/>
          <w:b/>
          <w:bCs/>
          <w:color w:val="auto"/>
          <w:highlight w:val="none"/>
          <w:lang w:val="zh-TW"/>
        </w:rPr>
      </w:pPr>
      <w:r>
        <w:rPr>
          <w:color w:val="auto"/>
          <w:highlight w:val="none"/>
        </w:rPr>
        <w:t>可能涉及的成果文件：</w:t>
      </w:r>
      <w:r>
        <w:rPr>
          <w:rFonts w:hint="eastAsia"/>
          <w:color w:val="auto"/>
          <w:highlight w:val="none"/>
        </w:rPr>
        <w:t>包括但不限于</w:t>
      </w:r>
      <w:r>
        <w:rPr>
          <w:color w:val="auto"/>
          <w:highlight w:val="none"/>
        </w:rPr>
        <w:t>《国有资产处置与进场交易合规意见》《招选商程序合规性法律分析》及各关键节点法律意见书</w:t>
      </w:r>
      <w:r>
        <w:rPr>
          <w:rFonts w:hint="eastAsia"/>
          <w:color w:val="auto"/>
          <w:highlight w:val="none"/>
        </w:rPr>
        <w:t>等</w:t>
      </w:r>
      <w:r>
        <w:rPr>
          <w:color w:val="auto"/>
          <w:highlight w:val="none"/>
        </w:rPr>
        <w:t>。</w:t>
      </w:r>
    </w:p>
    <w:p w14:paraId="49295555">
      <w:pPr>
        <w:pStyle w:val="102"/>
        <w:ind w:firstLine="480" w:firstLineChars="200"/>
        <w:rPr>
          <w:rFonts w:hint="eastAsia" w:cs="宋体"/>
          <w:b/>
          <w:bCs/>
          <w:color w:val="auto"/>
          <w:highlight w:val="none"/>
          <w:lang w:val="zh-TW"/>
        </w:rPr>
      </w:pPr>
      <w:r>
        <w:rPr>
          <w:color w:val="auto"/>
          <w:highlight w:val="none"/>
        </w:rPr>
        <w:t>（四）合同体系设计与谈判</w:t>
      </w:r>
    </w:p>
    <w:p w14:paraId="51BB8C9F">
      <w:pPr>
        <w:pStyle w:val="102"/>
        <w:ind w:firstLine="480" w:firstLineChars="200"/>
        <w:rPr>
          <w:rFonts w:hint="eastAsia" w:cs="宋体"/>
          <w:b/>
          <w:bCs/>
          <w:color w:val="auto"/>
          <w:highlight w:val="none"/>
          <w:lang w:val="zh-TW"/>
        </w:rPr>
      </w:pPr>
      <w:r>
        <w:rPr>
          <w:color w:val="auto"/>
          <w:highlight w:val="none"/>
        </w:rPr>
        <w:t>服务内容：起草并审查主合同（合作经营或运营权授予协议）及配套合同（改造建设、演艺项目授权、委托运营、收银结算、担保、退出等）；设计核心条款，包括资产权属与投入、收益分成与保底收入、业绩考核与对赌、共管账户、排他权、期限与续展、不可抗力、违约责任、兜底条款、退出与清算、争议解决；在招标合作运营方之前先行形成基本合同框架，供招标文件使用并作为谈判基础；参与全程谈判，就对方不合理诉求提出应对策略。</w:t>
      </w:r>
    </w:p>
    <w:p w14:paraId="230E9B70">
      <w:pPr>
        <w:pStyle w:val="102"/>
        <w:ind w:firstLine="480" w:firstLineChars="200"/>
        <w:rPr>
          <w:rFonts w:hint="eastAsia" w:cs="宋体"/>
          <w:b/>
          <w:bCs/>
          <w:color w:val="auto"/>
          <w:highlight w:val="none"/>
          <w:lang w:val="zh-TW"/>
        </w:rPr>
      </w:pPr>
      <w:r>
        <w:rPr>
          <w:color w:val="auto"/>
          <w:highlight w:val="none"/>
        </w:rPr>
        <w:t>重点注意：大量事项无法在一次性合同中界定清晰，须以兜底条款覆盖未尽事宜并设置变更决策程序；业绩与退出绑定须在合同中刚性约定且可直接执行；资产权属与共管账户等关键条款须措辞精确，防止歧义引发履约争议。</w:t>
      </w:r>
    </w:p>
    <w:p w14:paraId="026DCBD7">
      <w:pPr>
        <w:pStyle w:val="102"/>
        <w:ind w:firstLine="480" w:firstLineChars="200"/>
        <w:rPr>
          <w:rFonts w:hint="eastAsia" w:cs="宋体"/>
          <w:b/>
          <w:bCs/>
          <w:color w:val="auto"/>
          <w:highlight w:val="none"/>
          <w:lang w:val="zh-TW"/>
        </w:rPr>
      </w:pPr>
      <w:r>
        <w:rPr>
          <w:color w:val="auto"/>
          <w:highlight w:val="none"/>
        </w:rPr>
        <w:t>可能涉及的成果文件：</w:t>
      </w:r>
      <w:r>
        <w:rPr>
          <w:rFonts w:hint="eastAsia"/>
          <w:color w:val="auto"/>
          <w:highlight w:val="none"/>
        </w:rPr>
        <w:t>包括但不限于</w:t>
      </w:r>
      <w:r>
        <w:rPr>
          <w:color w:val="auto"/>
          <w:highlight w:val="none"/>
        </w:rPr>
        <w:t>《基本合同框架（招标用）》《主合同及配套合同定稿》《谈判纪要及关键条款说明》《兜底条款与风险防范专项说明》</w:t>
      </w:r>
      <w:r>
        <w:rPr>
          <w:rFonts w:hint="eastAsia"/>
          <w:color w:val="auto"/>
          <w:highlight w:val="none"/>
        </w:rPr>
        <w:t>等</w:t>
      </w:r>
      <w:r>
        <w:rPr>
          <w:color w:val="auto"/>
          <w:highlight w:val="none"/>
        </w:rPr>
        <w:t>。</w:t>
      </w:r>
    </w:p>
    <w:p w14:paraId="4931BAC4">
      <w:pPr>
        <w:pStyle w:val="102"/>
        <w:ind w:firstLine="480" w:firstLineChars="200"/>
        <w:rPr>
          <w:rFonts w:hint="eastAsia" w:cs="宋体"/>
          <w:b/>
          <w:bCs/>
          <w:color w:val="auto"/>
          <w:highlight w:val="none"/>
          <w:lang w:val="zh-TW"/>
        </w:rPr>
      </w:pPr>
      <w:r>
        <w:rPr>
          <w:color w:val="auto"/>
          <w:highlight w:val="none"/>
        </w:rPr>
        <w:t>（五）人员安置与劳动用工合规</w:t>
      </w:r>
    </w:p>
    <w:p w14:paraId="13D6CBDF">
      <w:pPr>
        <w:pStyle w:val="102"/>
        <w:ind w:firstLine="480" w:firstLineChars="200"/>
        <w:rPr>
          <w:rFonts w:hint="eastAsia" w:cs="宋体"/>
          <w:b/>
          <w:bCs/>
          <w:color w:val="auto"/>
          <w:highlight w:val="none"/>
          <w:lang w:val="zh-TW"/>
        </w:rPr>
      </w:pPr>
      <w:r>
        <w:rPr>
          <w:color w:val="auto"/>
          <w:highlight w:val="none"/>
        </w:rPr>
        <w:t>服务内容：梳理演员、导游及其他岗位的用工形式与薪酬结构（保底工资、计件、业绩浮动）；设计基础工作量、业绩浮动、超成本补偿、人工成本分摊等约定机制；就人员移交、劳动关系衔接、岗位调整提供合规方案，预防劳动仲裁与群体性事件；制定情绪与舆情风险应急预案。</w:t>
      </w:r>
    </w:p>
    <w:p w14:paraId="3257EC40">
      <w:pPr>
        <w:pStyle w:val="102"/>
        <w:ind w:firstLine="480" w:firstLineChars="200"/>
        <w:rPr>
          <w:rFonts w:hint="eastAsia" w:cs="宋体"/>
          <w:b/>
          <w:bCs/>
          <w:color w:val="auto"/>
          <w:highlight w:val="none"/>
          <w:lang w:val="zh-TW"/>
        </w:rPr>
      </w:pPr>
      <w:r>
        <w:rPr>
          <w:color w:val="auto"/>
          <w:highlight w:val="none"/>
        </w:rPr>
        <w:t>重点注意：</w:t>
      </w:r>
      <w:r>
        <w:rPr>
          <w:rFonts w:hint="eastAsia"/>
          <w:color w:val="auto"/>
          <w:highlight w:val="none"/>
        </w:rPr>
        <w:t>人员薪酬与安置</w:t>
      </w:r>
      <w:r>
        <w:rPr>
          <w:color w:val="auto"/>
          <w:highlight w:val="none"/>
        </w:rPr>
        <w:t>。</w:t>
      </w:r>
    </w:p>
    <w:p w14:paraId="720F1C9A">
      <w:pPr>
        <w:pStyle w:val="102"/>
        <w:ind w:firstLine="480" w:firstLineChars="200"/>
        <w:rPr>
          <w:rFonts w:hint="eastAsia" w:cs="宋体"/>
          <w:b/>
          <w:bCs/>
          <w:color w:val="auto"/>
          <w:highlight w:val="none"/>
          <w:lang w:val="zh-TW"/>
        </w:rPr>
      </w:pPr>
      <w:r>
        <w:rPr>
          <w:color w:val="auto"/>
          <w:highlight w:val="none"/>
        </w:rPr>
        <w:t>可能涉及的成果文件：</w:t>
      </w:r>
      <w:r>
        <w:rPr>
          <w:rFonts w:hint="eastAsia"/>
          <w:color w:val="auto"/>
          <w:highlight w:val="none"/>
        </w:rPr>
        <w:t>包括但不限于</w:t>
      </w:r>
      <w:r>
        <w:rPr>
          <w:color w:val="auto"/>
          <w:highlight w:val="none"/>
        </w:rPr>
        <w:t>《人员安置与劳动用工合规方案》《薪酬结构与人工成本分摊约定》《情绪与舆情风险应急预案》</w:t>
      </w:r>
      <w:r>
        <w:rPr>
          <w:rFonts w:hint="eastAsia"/>
          <w:color w:val="auto"/>
          <w:highlight w:val="none"/>
        </w:rPr>
        <w:t>等</w:t>
      </w:r>
      <w:r>
        <w:rPr>
          <w:color w:val="auto"/>
          <w:highlight w:val="none"/>
        </w:rPr>
        <w:t>。</w:t>
      </w:r>
    </w:p>
    <w:p w14:paraId="48C9397B">
      <w:pPr>
        <w:pStyle w:val="102"/>
        <w:ind w:firstLine="480" w:firstLineChars="200"/>
        <w:rPr>
          <w:rFonts w:hint="eastAsia" w:cs="宋体"/>
          <w:b/>
          <w:bCs/>
          <w:color w:val="auto"/>
          <w:highlight w:val="none"/>
          <w:lang w:val="zh-TW"/>
        </w:rPr>
      </w:pPr>
      <w:r>
        <w:rPr>
          <w:color w:val="auto"/>
          <w:highlight w:val="none"/>
        </w:rPr>
        <w:t>（六）资产权属与土地改造合规</w:t>
      </w:r>
    </w:p>
    <w:p w14:paraId="6AAEEF22">
      <w:pPr>
        <w:pStyle w:val="102"/>
        <w:ind w:firstLine="480" w:firstLineChars="200"/>
        <w:rPr>
          <w:rFonts w:hint="eastAsia" w:cs="宋体"/>
          <w:b/>
          <w:bCs/>
          <w:color w:val="auto"/>
          <w:highlight w:val="none"/>
          <w:lang w:val="zh-TW"/>
        </w:rPr>
      </w:pPr>
      <w:r>
        <w:rPr>
          <w:color w:val="auto"/>
          <w:highlight w:val="none"/>
        </w:rPr>
        <w:t>服务内容：落实固定资产归民族村所有、产权证办至民族村名下、退出不带走不补偿等安排；就公园绿地部分变更商业性用地可能涉及的补缴、报批报建主体与责任进行论证；就方案报批未通过情形下的投资调整、业绩对等安排设计风险预案；处理现状移交、历史遗留问题与更新改造的衔接。</w:t>
      </w:r>
    </w:p>
    <w:p w14:paraId="5418E82E">
      <w:pPr>
        <w:pStyle w:val="102"/>
        <w:ind w:firstLine="480" w:firstLineChars="200"/>
        <w:rPr>
          <w:rFonts w:hint="eastAsia" w:cs="宋体"/>
          <w:b/>
          <w:bCs/>
          <w:color w:val="auto"/>
          <w:highlight w:val="none"/>
          <w:lang w:val="zh-TW"/>
        </w:rPr>
      </w:pPr>
      <w:r>
        <w:rPr>
          <w:color w:val="auto"/>
          <w:highlight w:val="none"/>
        </w:rPr>
        <w:t>重点注意：政策与审批风险。</w:t>
      </w:r>
    </w:p>
    <w:p w14:paraId="5A901E13">
      <w:pPr>
        <w:pStyle w:val="102"/>
        <w:ind w:firstLine="480" w:firstLineChars="200"/>
        <w:rPr>
          <w:rFonts w:hint="eastAsia" w:cs="宋体"/>
          <w:b/>
          <w:bCs/>
          <w:color w:val="auto"/>
          <w:highlight w:val="none"/>
          <w:lang w:val="zh-TW"/>
        </w:rPr>
      </w:pPr>
      <w:r>
        <w:rPr>
          <w:color w:val="auto"/>
          <w:highlight w:val="none"/>
        </w:rPr>
        <w:t>可能涉及的成果文件：</w:t>
      </w:r>
      <w:r>
        <w:rPr>
          <w:rFonts w:hint="eastAsia"/>
          <w:color w:val="auto"/>
          <w:highlight w:val="none"/>
        </w:rPr>
        <w:t>包括但不限于</w:t>
      </w:r>
      <w:r>
        <w:rPr>
          <w:color w:val="auto"/>
          <w:highlight w:val="none"/>
        </w:rPr>
        <w:t>《资产权属与土地改造合规意见》《报批报建与投资调整风险预案》《现状移交与历史遗留问题处理方案》</w:t>
      </w:r>
      <w:r>
        <w:rPr>
          <w:rFonts w:hint="eastAsia"/>
          <w:color w:val="auto"/>
          <w:highlight w:val="none"/>
        </w:rPr>
        <w:t>等</w:t>
      </w:r>
      <w:r>
        <w:rPr>
          <w:color w:val="auto"/>
          <w:highlight w:val="none"/>
        </w:rPr>
        <w:t>。</w:t>
      </w:r>
    </w:p>
    <w:p w14:paraId="65DEB849">
      <w:pPr>
        <w:pStyle w:val="102"/>
        <w:ind w:firstLine="480" w:firstLineChars="200"/>
        <w:rPr>
          <w:rFonts w:hint="eastAsia" w:cs="宋体"/>
          <w:b/>
          <w:bCs/>
          <w:color w:val="auto"/>
          <w:highlight w:val="none"/>
          <w:lang w:val="zh-TW"/>
        </w:rPr>
      </w:pPr>
      <w:r>
        <w:rPr>
          <w:color w:val="auto"/>
          <w:highlight w:val="none"/>
        </w:rPr>
        <w:t>（七）财务资金与履约保障</w:t>
      </w:r>
    </w:p>
    <w:p w14:paraId="2C50AC40">
      <w:pPr>
        <w:pStyle w:val="102"/>
        <w:ind w:firstLine="480" w:firstLineChars="200"/>
        <w:rPr>
          <w:rFonts w:hint="eastAsia" w:cs="宋体"/>
          <w:b/>
          <w:bCs/>
          <w:color w:val="auto"/>
          <w:highlight w:val="none"/>
          <w:lang w:val="zh-TW"/>
        </w:rPr>
      </w:pPr>
      <w:r>
        <w:rPr>
          <w:color w:val="auto"/>
          <w:highlight w:val="none"/>
        </w:rPr>
        <w:t>服务内容：设计共管账户、统一收银、双方权限设置及收银系统选用的法律框架；审查对方融资是否穿透至民族村、银行政策归属及风险隔离安排；设计按月预付、超30日未付款保障工资发放、保底收入与业绩对赌机制；构建债权债务隔离、履约担保、抵押质押及追偿机制。</w:t>
      </w:r>
    </w:p>
    <w:p w14:paraId="2DECE406">
      <w:pPr>
        <w:pStyle w:val="102"/>
        <w:ind w:firstLine="480" w:firstLineChars="200"/>
        <w:rPr>
          <w:rFonts w:hint="eastAsia" w:cs="宋体"/>
          <w:b/>
          <w:bCs/>
          <w:color w:val="auto"/>
          <w:highlight w:val="none"/>
          <w:lang w:val="zh-TW"/>
        </w:rPr>
      </w:pPr>
      <w:r>
        <w:rPr>
          <w:color w:val="auto"/>
          <w:highlight w:val="none"/>
        </w:rPr>
        <w:t>重点注意：易引发纠纷的资金环节。</w:t>
      </w:r>
    </w:p>
    <w:p w14:paraId="73F48CAC">
      <w:pPr>
        <w:pStyle w:val="102"/>
        <w:ind w:firstLine="480" w:firstLineChars="200"/>
        <w:rPr>
          <w:rFonts w:hint="eastAsia" w:cs="宋体"/>
          <w:b/>
          <w:bCs/>
          <w:color w:val="auto"/>
          <w:highlight w:val="none"/>
          <w:lang w:val="zh-TW"/>
        </w:rPr>
      </w:pPr>
      <w:r>
        <w:rPr>
          <w:color w:val="auto"/>
          <w:highlight w:val="none"/>
        </w:rPr>
        <w:t>可能涉及的成果文件：</w:t>
      </w:r>
      <w:r>
        <w:rPr>
          <w:rFonts w:hint="eastAsia"/>
          <w:color w:val="auto"/>
          <w:highlight w:val="none"/>
        </w:rPr>
        <w:t>包括但不限于</w:t>
      </w:r>
      <w:r>
        <w:rPr>
          <w:color w:val="auto"/>
          <w:highlight w:val="none"/>
        </w:rPr>
        <w:t>《共管账户与统一收银法律框架》《按月预付与保底收入结算条款》《债权债务隔离与履约担保方案》</w:t>
      </w:r>
      <w:r>
        <w:rPr>
          <w:rFonts w:hint="eastAsia"/>
          <w:color w:val="auto"/>
          <w:highlight w:val="none"/>
        </w:rPr>
        <w:t>等</w:t>
      </w:r>
      <w:r>
        <w:rPr>
          <w:color w:val="auto"/>
          <w:highlight w:val="none"/>
        </w:rPr>
        <w:t>。</w:t>
      </w:r>
    </w:p>
    <w:p w14:paraId="07C5A22A">
      <w:pPr>
        <w:pStyle w:val="102"/>
        <w:ind w:firstLine="480" w:firstLineChars="200"/>
        <w:rPr>
          <w:rFonts w:hint="eastAsia" w:cs="宋体"/>
          <w:b/>
          <w:bCs/>
          <w:color w:val="auto"/>
          <w:highlight w:val="none"/>
          <w:lang w:val="zh-TW"/>
        </w:rPr>
      </w:pPr>
      <w:r>
        <w:rPr>
          <w:color w:val="auto"/>
          <w:highlight w:val="none"/>
        </w:rPr>
        <w:t>（八）知识产权与无形资产保护</w:t>
      </w:r>
    </w:p>
    <w:p w14:paraId="43EAEC84">
      <w:pPr>
        <w:pStyle w:val="102"/>
        <w:ind w:firstLine="480" w:firstLineChars="200"/>
        <w:rPr>
          <w:rFonts w:hint="eastAsia" w:cs="宋体"/>
          <w:b/>
          <w:bCs/>
          <w:color w:val="auto"/>
          <w:highlight w:val="none"/>
          <w:lang w:val="zh-TW"/>
        </w:rPr>
      </w:pPr>
      <w:r>
        <w:rPr>
          <w:color w:val="auto"/>
          <w:highlight w:val="none"/>
        </w:rPr>
        <w:t>服务内容：厘清民族村现有无形资产（含品牌、演艺IP、文化元素）权属与使用边界；设计演艺项目使用权投入但不得改变、不得输出的授权条款；保护“云南民族村”品牌与民族文化IP，防止第三方借改造窃取或稀释品牌资产。</w:t>
      </w:r>
    </w:p>
    <w:p w14:paraId="268053D4">
      <w:pPr>
        <w:pStyle w:val="102"/>
        <w:ind w:firstLine="480" w:firstLineChars="200"/>
        <w:rPr>
          <w:rFonts w:hint="eastAsia" w:cs="宋体"/>
          <w:b/>
          <w:bCs/>
          <w:color w:val="auto"/>
          <w:highlight w:val="none"/>
          <w:lang w:val="zh-TW"/>
        </w:rPr>
      </w:pPr>
      <w:r>
        <w:rPr>
          <w:color w:val="auto"/>
          <w:highlight w:val="none"/>
        </w:rPr>
        <w:t>重点注意：无形资产流失风险。IP、品牌、文化元素权属与授权边界不清将造成无形资产流失；演艺项目使用权须明确“不得改变、不得输出”的边界与违约责任；品牌授权期限、范围、排他性及许可使用费须清晰约定。</w:t>
      </w:r>
    </w:p>
    <w:p w14:paraId="241CB79F">
      <w:pPr>
        <w:pStyle w:val="102"/>
        <w:ind w:firstLine="480" w:firstLineChars="200"/>
        <w:rPr>
          <w:rFonts w:hint="eastAsia" w:cs="宋体"/>
          <w:b/>
          <w:bCs/>
          <w:color w:val="auto"/>
          <w:highlight w:val="none"/>
          <w:lang w:val="zh-TW"/>
        </w:rPr>
      </w:pPr>
      <w:r>
        <w:rPr>
          <w:color w:val="auto"/>
          <w:highlight w:val="none"/>
        </w:rPr>
        <w:t>可能涉及的成果文件：</w:t>
      </w:r>
      <w:r>
        <w:rPr>
          <w:rFonts w:hint="eastAsia"/>
          <w:color w:val="auto"/>
          <w:highlight w:val="none"/>
        </w:rPr>
        <w:t>包括但不限于</w:t>
      </w:r>
      <w:r>
        <w:rPr>
          <w:color w:val="auto"/>
          <w:highlight w:val="none"/>
        </w:rPr>
        <w:t>《无形资产权属与授权使用方案》《演艺项目授权使用专项条款》《品牌与民族文化IP保护方案》</w:t>
      </w:r>
      <w:r>
        <w:rPr>
          <w:rFonts w:hint="eastAsia"/>
          <w:color w:val="auto"/>
          <w:highlight w:val="none"/>
        </w:rPr>
        <w:t>等</w:t>
      </w:r>
      <w:r>
        <w:rPr>
          <w:color w:val="auto"/>
          <w:highlight w:val="none"/>
        </w:rPr>
        <w:t>。</w:t>
      </w:r>
    </w:p>
    <w:p w14:paraId="7CBD0CCD">
      <w:pPr>
        <w:pStyle w:val="102"/>
        <w:ind w:firstLine="480" w:firstLineChars="200"/>
        <w:rPr>
          <w:rFonts w:hint="eastAsia" w:cs="宋体"/>
          <w:b/>
          <w:bCs/>
          <w:color w:val="auto"/>
          <w:highlight w:val="none"/>
          <w:lang w:val="zh-TW"/>
        </w:rPr>
      </w:pPr>
      <w:r>
        <w:rPr>
          <w:color w:val="auto"/>
          <w:highlight w:val="none"/>
        </w:rPr>
        <w:t>（九）数据资产与信息化合规</w:t>
      </w:r>
    </w:p>
    <w:p w14:paraId="7BA0FD98">
      <w:pPr>
        <w:pStyle w:val="102"/>
        <w:ind w:firstLine="480" w:firstLineChars="200"/>
        <w:rPr>
          <w:rFonts w:hint="eastAsia" w:cs="宋体"/>
          <w:b/>
          <w:bCs/>
          <w:color w:val="auto"/>
          <w:highlight w:val="none"/>
          <w:lang w:val="zh-TW"/>
        </w:rPr>
      </w:pPr>
      <w:r>
        <w:rPr>
          <w:color w:val="auto"/>
          <w:highlight w:val="none"/>
        </w:rPr>
        <w:t>服务内容：界定门票、收银、客流、营销等数据的权属、使用与安全责任；就收银系统、信息系统的建设与数据合规提出法律安排，防范数据安全与个人信息保护风险。</w:t>
      </w:r>
    </w:p>
    <w:p w14:paraId="6A2DAA6D">
      <w:pPr>
        <w:pStyle w:val="102"/>
        <w:ind w:firstLine="480" w:firstLineChars="200"/>
        <w:rPr>
          <w:rFonts w:hint="eastAsia" w:cs="宋体"/>
          <w:b/>
          <w:bCs/>
          <w:color w:val="auto"/>
          <w:highlight w:val="none"/>
          <w:lang w:val="zh-TW"/>
        </w:rPr>
      </w:pPr>
      <w:r>
        <w:rPr>
          <w:color w:val="auto"/>
          <w:highlight w:val="none"/>
        </w:rPr>
        <w:t>重点注意：易引发纠纷的环节。</w:t>
      </w:r>
    </w:p>
    <w:p w14:paraId="74EFFB53">
      <w:pPr>
        <w:pStyle w:val="102"/>
        <w:ind w:firstLine="480" w:firstLineChars="200"/>
        <w:rPr>
          <w:rFonts w:hint="eastAsia" w:cs="宋体"/>
          <w:b/>
          <w:bCs/>
          <w:color w:val="auto"/>
          <w:highlight w:val="none"/>
          <w:lang w:val="zh-TW"/>
        </w:rPr>
      </w:pPr>
      <w:r>
        <w:rPr>
          <w:color w:val="auto"/>
          <w:highlight w:val="none"/>
        </w:rPr>
        <w:t>可能涉及的成果文件：</w:t>
      </w:r>
      <w:r>
        <w:rPr>
          <w:rFonts w:hint="eastAsia"/>
          <w:color w:val="auto"/>
          <w:highlight w:val="none"/>
        </w:rPr>
        <w:t>包括但不限于</w:t>
      </w:r>
      <w:r>
        <w:rPr>
          <w:color w:val="auto"/>
          <w:highlight w:val="none"/>
        </w:rPr>
        <w:t>《数据资产权属与使用合规意见》《收银与信息系统数据合规安排》</w:t>
      </w:r>
      <w:r>
        <w:rPr>
          <w:rFonts w:hint="eastAsia"/>
          <w:color w:val="auto"/>
          <w:highlight w:val="none"/>
        </w:rPr>
        <w:t>等</w:t>
      </w:r>
      <w:r>
        <w:rPr>
          <w:color w:val="auto"/>
          <w:highlight w:val="none"/>
        </w:rPr>
        <w:t>。</w:t>
      </w:r>
    </w:p>
    <w:p w14:paraId="3589964A">
      <w:pPr>
        <w:pStyle w:val="102"/>
        <w:ind w:firstLine="480" w:firstLineChars="200"/>
        <w:rPr>
          <w:rFonts w:hint="eastAsia" w:cs="宋体"/>
          <w:b/>
          <w:bCs/>
          <w:color w:val="auto"/>
          <w:highlight w:val="none"/>
          <w:lang w:val="zh-TW"/>
        </w:rPr>
      </w:pPr>
      <w:r>
        <w:rPr>
          <w:color w:val="auto"/>
          <w:highlight w:val="none"/>
        </w:rPr>
        <w:t>（十）安全生产与运营合规</w:t>
      </w:r>
    </w:p>
    <w:p w14:paraId="7A576787">
      <w:pPr>
        <w:pStyle w:val="102"/>
        <w:ind w:firstLine="480" w:firstLineChars="200"/>
        <w:rPr>
          <w:rFonts w:hint="eastAsia" w:cs="宋体"/>
          <w:b/>
          <w:bCs/>
          <w:color w:val="auto"/>
          <w:highlight w:val="none"/>
          <w:lang w:val="zh-TW"/>
        </w:rPr>
      </w:pPr>
      <w:r>
        <w:rPr>
          <w:color w:val="auto"/>
          <w:highlight w:val="none"/>
        </w:rPr>
        <w:t>服务内容：审查改造工程及运营环节的安全生产、消防、特种设备、大型活动报批等合规要求；就游客人身安全、保险安排、应急处置机制提供法律建议。</w:t>
      </w:r>
    </w:p>
    <w:p w14:paraId="062B8D4C">
      <w:pPr>
        <w:pStyle w:val="102"/>
        <w:ind w:firstLine="480" w:firstLineChars="200"/>
        <w:rPr>
          <w:rFonts w:hint="eastAsia" w:cs="宋体"/>
          <w:b/>
          <w:bCs/>
          <w:color w:val="auto"/>
          <w:highlight w:val="none"/>
          <w:lang w:val="zh-TW"/>
        </w:rPr>
      </w:pPr>
      <w:r>
        <w:rPr>
          <w:color w:val="auto"/>
          <w:highlight w:val="none"/>
        </w:rPr>
        <w:t>重点注意：改造施工与运营阶段的安全责任划分须在合同中明确；大型活动报批、特种设备检测、消防验收等前置合规要件须逐项落实；游客人身伤害责任及保险安排须覆盖到位。</w:t>
      </w:r>
    </w:p>
    <w:p w14:paraId="4FD85BC6">
      <w:pPr>
        <w:pStyle w:val="102"/>
        <w:ind w:firstLine="480" w:firstLineChars="200"/>
        <w:rPr>
          <w:rFonts w:hint="eastAsia" w:cs="宋体"/>
          <w:b/>
          <w:bCs/>
          <w:color w:val="auto"/>
          <w:highlight w:val="none"/>
          <w:lang w:val="zh-TW"/>
        </w:rPr>
      </w:pPr>
      <w:r>
        <w:rPr>
          <w:color w:val="auto"/>
          <w:highlight w:val="none"/>
        </w:rPr>
        <w:t>可能涉及的成果文件：</w:t>
      </w:r>
      <w:r>
        <w:rPr>
          <w:rFonts w:hint="eastAsia"/>
          <w:color w:val="auto"/>
          <w:highlight w:val="none"/>
        </w:rPr>
        <w:t>包括但不限于</w:t>
      </w:r>
      <w:r>
        <w:rPr>
          <w:color w:val="auto"/>
          <w:highlight w:val="none"/>
        </w:rPr>
        <w:t>《安全生产与运营合规审查意见》《保险安排与应急处置机制方案》</w:t>
      </w:r>
      <w:r>
        <w:rPr>
          <w:rFonts w:hint="eastAsia"/>
          <w:color w:val="auto"/>
          <w:highlight w:val="none"/>
        </w:rPr>
        <w:t>等</w:t>
      </w:r>
      <w:r>
        <w:rPr>
          <w:color w:val="auto"/>
          <w:highlight w:val="none"/>
        </w:rPr>
        <w:t>。</w:t>
      </w:r>
    </w:p>
    <w:p w14:paraId="3A45997D">
      <w:pPr>
        <w:pStyle w:val="102"/>
        <w:ind w:firstLine="480" w:firstLineChars="200"/>
        <w:rPr>
          <w:rFonts w:hint="eastAsia" w:cs="宋体"/>
          <w:b/>
          <w:bCs/>
          <w:color w:val="auto"/>
          <w:highlight w:val="none"/>
          <w:lang w:val="zh-TW"/>
        </w:rPr>
      </w:pPr>
      <w:r>
        <w:rPr>
          <w:color w:val="auto"/>
          <w:highlight w:val="none"/>
        </w:rPr>
        <w:t>（十一）现有景区内合作方调整</w:t>
      </w:r>
    </w:p>
    <w:p w14:paraId="1B1E3318">
      <w:pPr>
        <w:pStyle w:val="102"/>
        <w:ind w:firstLine="480" w:firstLineChars="200"/>
        <w:rPr>
          <w:rFonts w:hint="eastAsia" w:cs="宋体"/>
          <w:b/>
          <w:bCs/>
          <w:color w:val="auto"/>
          <w:highlight w:val="none"/>
          <w:lang w:val="zh-TW"/>
        </w:rPr>
      </w:pPr>
      <w:r>
        <w:rPr>
          <w:color w:val="auto"/>
          <w:highlight w:val="none"/>
        </w:rPr>
        <w:t>服务内容：梳理景区内现有合作方及其合同关系，评估第三方进入对既有合作的影响；就合作方调整、合同变更或终止提供法律意见，防范违约与纠纷。</w:t>
      </w:r>
    </w:p>
    <w:p w14:paraId="709ADBA9">
      <w:pPr>
        <w:pStyle w:val="102"/>
        <w:ind w:firstLine="480" w:firstLineChars="200"/>
        <w:rPr>
          <w:rFonts w:hint="eastAsia" w:cs="宋体"/>
          <w:b/>
          <w:bCs/>
          <w:color w:val="auto"/>
          <w:highlight w:val="none"/>
          <w:lang w:val="zh-TW"/>
        </w:rPr>
      </w:pPr>
      <w:r>
        <w:rPr>
          <w:color w:val="auto"/>
          <w:highlight w:val="none"/>
        </w:rPr>
        <w:t>重点注意：第三方进入可能影响既有合作方的既有权利，存在违约或索赔风险；合作方调整须与主合作安排衔接，避免多重合同冲突；对需终止的既有合作提前评估违约责任与成本。</w:t>
      </w:r>
    </w:p>
    <w:p w14:paraId="7FE9C838">
      <w:pPr>
        <w:pStyle w:val="102"/>
        <w:ind w:firstLine="480" w:firstLineChars="200"/>
        <w:rPr>
          <w:rFonts w:hint="eastAsia" w:cs="宋体"/>
          <w:b/>
          <w:bCs/>
          <w:color w:val="auto"/>
          <w:highlight w:val="none"/>
          <w:lang w:val="zh-TW"/>
        </w:rPr>
      </w:pPr>
      <w:r>
        <w:rPr>
          <w:color w:val="auto"/>
          <w:highlight w:val="none"/>
        </w:rPr>
        <w:t>可能涉及的成果文件：</w:t>
      </w:r>
      <w:r>
        <w:rPr>
          <w:rFonts w:hint="eastAsia"/>
          <w:color w:val="auto"/>
          <w:highlight w:val="none"/>
        </w:rPr>
        <w:t>包括但不限于</w:t>
      </w:r>
      <w:r>
        <w:rPr>
          <w:color w:val="auto"/>
          <w:highlight w:val="none"/>
        </w:rPr>
        <w:t>《现有合作方合同关系梳理报告》《合作方调整与合同变更或终止法律意见》</w:t>
      </w:r>
      <w:r>
        <w:rPr>
          <w:rFonts w:hint="eastAsia"/>
          <w:color w:val="auto"/>
          <w:highlight w:val="none"/>
        </w:rPr>
        <w:t>等</w:t>
      </w:r>
      <w:r>
        <w:rPr>
          <w:color w:val="auto"/>
          <w:highlight w:val="none"/>
        </w:rPr>
        <w:t>。</w:t>
      </w:r>
    </w:p>
    <w:p w14:paraId="46B306DA">
      <w:pPr>
        <w:pStyle w:val="102"/>
        <w:ind w:firstLine="480" w:firstLineChars="200"/>
        <w:rPr>
          <w:rFonts w:hint="eastAsia" w:cs="宋体"/>
          <w:b/>
          <w:bCs/>
          <w:color w:val="auto"/>
          <w:highlight w:val="none"/>
          <w:lang w:val="zh-TW"/>
        </w:rPr>
      </w:pPr>
      <w:r>
        <w:rPr>
          <w:color w:val="auto"/>
          <w:highlight w:val="none"/>
        </w:rPr>
        <w:t>（十二）退出机制与争议解决</w:t>
      </w:r>
    </w:p>
    <w:p w14:paraId="5D1AB26F">
      <w:pPr>
        <w:pStyle w:val="102"/>
        <w:ind w:firstLine="480" w:firstLineChars="200"/>
        <w:rPr>
          <w:rFonts w:hint="eastAsia" w:cs="宋体"/>
          <w:b/>
          <w:bCs/>
          <w:color w:val="auto"/>
          <w:highlight w:val="none"/>
          <w:lang w:val="zh-TW"/>
        </w:rPr>
      </w:pPr>
      <w:r>
        <w:rPr>
          <w:color w:val="auto"/>
          <w:highlight w:val="none"/>
        </w:rPr>
        <w:t>服务内容：设计提前终止、经营失败退出、到期移交与资产返还机制；就经营业绩未达标时的退出、补偿、业绩对赌结算作出安排；全程提供履约监督。</w:t>
      </w:r>
    </w:p>
    <w:p w14:paraId="643C32F9">
      <w:pPr>
        <w:pStyle w:val="102"/>
        <w:ind w:firstLine="480" w:firstLineChars="200"/>
        <w:rPr>
          <w:rFonts w:hint="eastAsia" w:cs="宋体"/>
          <w:b/>
          <w:bCs/>
          <w:color w:val="auto"/>
          <w:highlight w:val="none"/>
          <w:lang w:val="zh-TW"/>
        </w:rPr>
      </w:pPr>
      <w:r>
        <w:rPr>
          <w:color w:val="auto"/>
          <w:highlight w:val="none"/>
        </w:rPr>
        <w:t>重点注意：履约监督与证据保全须贯穿全程，为争议解决留足证据。</w:t>
      </w:r>
    </w:p>
    <w:p w14:paraId="747C74D0">
      <w:pPr>
        <w:pStyle w:val="102"/>
        <w:ind w:firstLine="480" w:firstLineChars="200"/>
        <w:rPr>
          <w:rFonts w:hint="eastAsia" w:cs="宋体"/>
          <w:b/>
          <w:bCs/>
          <w:color w:val="auto"/>
          <w:highlight w:val="none"/>
          <w:lang w:val="zh-TW"/>
        </w:rPr>
      </w:pPr>
      <w:r>
        <w:rPr>
          <w:color w:val="auto"/>
          <w:highlight w:val="none"/>
        </w:rPr>
        <w:t>可能涉及的成果文件：</w:t>
      </w:r>
      <w:r>
        <w:rPr>
          <w:rFonts w:hint="eastAsia"/>
          <w:color w:val="auto"/>
          <w:highlight w:val="none"/>
        </w:rPr>
        <w:t>包括但不限于</w:t>
      </w:r>
      <w:r>
        <w:rPr>
          <w:color w:val="auto"/>
          <w:highlight w:val="none"/>
        </w:rPr>
        <w:t>《退出机制与清算条款》《业绩对赌与补偿结算方案》、履约监督相关档案</w:t>
      </w:r>
      <w:r>
        <w:rPr>
          <w:rFonts w:hint="eastAsia"/>
          <w:color w:val="auto"/>
          <w:highlight w:val="none"/>
        </w:rPr>
        <w:t>等</w:t>
      </w:r>
      <w:r>
        <w:rPr>
          <w:color w:val="auto"/>
          <w:highlight w:val="none"/>
        </w:rPr>
        <w:t>。</w:t>
      </w:r>
    </w:p>
    <w:p w14:paraId="659A4127">
      <w:pPr>
        <w:pStyle w:val="102"/>
        <w:ind w:firstLine="480" w:firstLineChars="200"/>
        <w:rPr>
          <w:rFonts w:hint="eastAsia" w:cs="宋体"/>
          <w:b/>
          <w:bCs/>
          <w:color w:val="auto"/>
          <w:highlight w:val="none"/>
          <w:lang w:val="zh-TW"/>
        </w:rPr>
      </w:pPr>
      <w:r>
        <w:rPr>
          <w:color w:val="auto"/>
          <w:highlight w:val="none"/>
        </w:rPr>
        <w:t>三、分阶段法律服务安排</w:t>
      </w:r>
    </w:p>
    <w:p w14:paraId="69C25D17">
      <w:pPr>
        <w:pStyle w:val="102"/>
        <w:ind w:firstLine="480" w:firstLineChars="200"/>
        <w:rPr>
          <w:rFonts w:hint="eastAsia" w:cs="宋体"/>
          <w:b/>
          <w:bCs/>
          <w:color w:val="auto"/>
          <w:highlight w:val="none"/>
          <w:lang w:val="zh-TW"/>
        </w:rPr>
      </w:pPr>
      <w:r>
        <w:rPr>
          <w:color w:val="auto"/>
          <w:highlight w:val="none"/>
        </w:rPr>
        <w:t>本项目整体服务期限</w:t>
      </w:r>
      <w:r>
        <w:rPr>
          <w:rFonts w:hint="eastAsia"/>
          <w:color w:val="auto"/>
          <w:highlight w:val="none"/>
        </w:rPr>
        <w:t>约</w:t>
      </w:r>
      <w:r>
        <w:rPr>
          <w:color w:val="auto"/>
          <w:highlight w:val="none"/>
        </w:rPr>
        <w:t>为2年，自委托合同生效之日起算，按“招标前—招标中—签约+移交—建设+验收—试运营”五个阶段推进（运营期常年法律服务不在本次磋商范围，另行约定），与报价各阶段一一对应。各阶段服务内容如下：</w:t>
      </w:r>
    </w:p>
    <w:p w14:paraId="607A3915">
      <w:pPr>
        <w:pStyle w:val="102"/>
        <w:ind w:firstLine="480" w:firstLineChars="200"/>
        <w:rPr>
          <w:rFonts w:hint="eastAsia" w:cs="宋体"/>
          <w:b/>
          <w:bCs/>
          <w:color w:val="auto"/>
          <w:highlight w:val="none"/>
          <w:lang w:val="zh-TW"/>
        </w:rPr>
      </w:pPr>
      <w:r>
        <w:rPr>
          <w:color w:val="auto"/>
          <w:highlight w:val="none"/>
        </w:rPr>
        <w:t>第一阶段（招标前）：委托合同签订之日起至选聘合作方的招标公告发布之日止。核心服务内容：（1）项目启动准备：开展利益冲突检索，组建专项服务团队，制定项目工作计划与时间表；（2）与发包人研判、确定合作方案，就最终确定的合作方案出具《关于合作方案的合法合规性分析报告》；（3）协助梳理发包人及上级单位党委、董事会、总经理办公会等决策流程，对上会议案、请示等法律文本进行审查；（4）针对发包人及上级主管部门的疑问出具《法律意见书》；（5）审查各中介机构出具的相关文件（包括但不限于《可行性研究报告》《评估报告》《审计报告》《财务咨询报告》），协调各中介机构的结论统一；（6）协助招标机构拟定招标文件，对拟定的招标方案、资格条件、评审要素做反倾向性、反排他性条款审查（含经营业绩指标、退出机制、兜底条款）。</w:t>
      </w:r>
    </w:p>
    <w:p w14:paraId="4BECD2E3">
      <w:pPr>
        <w:pStyle w:val="102"/>
        <w:ind w:firstLine="480" w:firstLineChars="200"/>
        <w:rPr>
          <w:rFonts w:hint="eastAsia" w:cs="宋体"/>
          <w:b/>
          <w:bCs/>
          <w:color w:val="auto"/>
          <w:highlight w:val="none"/>
          <w:lang w:val="zh-TW"/>
        </w:rPr>
      </w:pPr>
      <w:r>
        <w:rPr>
          <w:color w:val="auto"/>
          <w:highlight w:val="none"/>
        </w:rPr>
        <w:t>第二阶段（招标中）：招标公告发布之日起至中标公告期满之日止。核心服务内容：（1）配合招标机构对投标单位进行资格审查；（2）对中标单位（含联合体）开展全面法律尽职调查（重点核查主体资格、资信与履约能力、IP权属及授权链条、资金实力、类似业绩、涉诉与被执行情况、关联关系与利益冲突），对中标单位（含联合体）的股东方开展适当法律尽职调查，并出具《法律尽职调查报告》；（3）针对招标过程中投标人提出的异议、质疑，协助招标机构提供法律意见、起草答复文件。</w:t>
      </w:r>
    </w:p>
    <w:p w14:paraId="57633CC2">
      <w:pPr>
        <w:pStyle w:val="102"/>
        <w:ind w:firstLine="480" w:firstLineChars="200"/>
        <w:rPr>
          <w:rFonts w:hint="eastAsia" w:cs="宋体"/>
          <w:b/>
          <w:bCs/>
          <w:color w:val="auto"/>
          <w:highlight w:val="none"/>
          <w:lang w:val="zh-TW"/>
        </w:rPr>
      </w:pPr>
      <w:r>
        <w:rPr>
          <w:color w:val="auto"/>
          <w:highlight w:val="none"/>
        </w:rPr>
        <w:t>第三阶段（签约+移交）：中标公告期满之日起至发包人与合作方签订《合作协议》及《补充协议》且资产移交合作方之日止。核心服务内容：（1）根据评标结果制定谈判方案与底线条款，参与多轮商务谈判；主合同及配套合同细化、定稿与签署安排；正式签约支持与备案；（2）针对中标后发包人和合作方的合作细节进行补充完善，拟定相关文件，包括但不限于补充协议、履约担保协议、绩效考核办法等；（3）协助发包人完成向合作方资产、人员的移交工作，包括但不限于拟定资产移交清单、完成知识产权授权、论证劳动关系转移路径并拟写配套文件、拟定资产监督管理办法。</w:t>
      </w:r>
    </w:p>
    <w:p w14:paraId="151EC6B4">
      <w:pPr>
        <w:pStyle w:val="102"/>
        <w:ind w:firstLine="480" w:firstLineChars="200"/>
        <w:rPr>
          <w:rFonts w:hint="eastAsia" w:cs="宋体"/>
          <w:b/>
          <w:bCs/>
          <w:color w:val="auto"/>
          <w:highlight w:val="none"/>
          <w:lang w:val="zh-TW"/>
        </w:rPr>
      </w:pPr>
      <w:r>
        <w:rPr>
          <w:color w:val="auto"/>
          <w:highlight w:val="none"/>
        </w:rPr>
        <w:t>第四阶段（建设+验收）：自资产移交合作方之日起至项目经业主方验收通过之日止。核心服务内容：（1）协助发包人划分责任界面，拟定相关文件及管理规范；（2）在景区边建边运营的过程中，梳理相关风险，拟定安全告示、游客需知等文件，衔接改造期间公园正常经营与安全责任划分；（3）处理景区建设期内的突发事故（诉讼另行收费）；（4）协助发包人完成项目验收，拟定相关文件；（5）协助会计师事务所完成项目跟踪审计过程中部分疑难问题的合法合规性论证（若有）；（6）针对合作方履约偏差，协助出具催告函、整改通知等法律文书。</w:t>
      </w:r>
    </w:p>
    <w:p w14:paraId="58B9B444">
      <w:pPr>
        <w:pStyle w:val="102"/>
        <w:ind w:firstLine="480" w:firstLineChars="200"/>
        <w:rPr>
          <w:rFonts w:hint="eastAsia" w:cs="宋体"/>
          <w:b/>
          <w:bCs/>
          <w:color w:val="auto"/>
          <w:highlight w:val="none"/>
          <w:lang w:val="zh-TW"/>
        </w:rPr>
      </w:pPr>
      <w:r>
        <w:rPr>
          <w:color w:val="auto"/>
          <w:highlight w:val="none"/>
        </w:rPr>
        <w:t>第五阶段（试运营）：自项目经业主方验收通过之日起至试运营结束之日止。核心服务内容：（1）对景区门票、商业收费进行合法合规性论证；（2）根据试运营情况，优化与合作方的合作细节，进一步拟定《补充协议》及管理规章；（3）试运营发现问题的合同调整，涉及重大变更的同步履行国资决策程序；（4）安全事故、舆情、消费者纠纷的应急处理。</w:t>
      </w:r>
    </w:p>
    <w:p w14:paraId="67457C7A">
      <w:pPr>
        <w:pStyle w:val="102"/>
        <w:ind w:firstLine="480" w:firstLineChars="200"/>
        <w:rPr>
          <w:rFonts w:hint="eastAsia" w:cs="宋体"/>
          <w:b/>
          <w:bCs/>
          <w:color w:val="auto"/>
          <w:highlight w:val="none"/>
          <w:lang w:val="zh-TW"/>
        </w:rPr>
      </w:pPr>
      <w:r>
        <w:rPr>
          <w:color w:val="auto"/>
          <w:highlight w:val="none"/>
        </w:rPr>
        <w:t>四、服务团队与工作机制要求</w:t>
      </w:r>
    </w:p>
    <w:p w14:paraId="6FC5441C">
      <w:pPr>
        <w:pStyle w:val="102"/>
        <w:ind w:firstLine="480" w:firstLineChars="200"/>
        <w:rPr>
          <w:rFonts w:hint="eastAsia" w:cs="宋体"/>
          <w:b/>
          <w:bCs/>
          <w:color w:val="auto"/>
          <w:highlight w:val="none"/>
          <w:lang w:val="zh-TW"/>
        </w:rPr>
      </w:pPr>
      <w:r>
        <w:rPr>
          <w:color w:val="auto"/>
          <w:highlight w:val="none"/>
        </w:rPr>
        <w:t>1.团队配置：成交供应商应派出擅长国有企业诉讼与非诉讼、PPP项目、地产项目、文旅项目的专业团队，明确项目负责人及主办、辅办律师分工；视项目节点需要，可调配土地、税务、劳动、知识产权、投融资等专业方向律师协同支持。</w:t>
      </w:r>
    </w:p>
    <w:p w14:paraId="7DD2E6AC">
      <w:pPr>
        <w:pStyle w:val="102"/>
        <w:ind w:firstLine="480" w:firstLineChars="200"/>
        <w:rPr>
          <w:rFonts w:hint="eastAsia" w:cs="宋体"/>
          <w:b/>
          <w:bCs/>
          <w:color w:val="auto"/>
          <w:highlight w:val="none"/>
          <w:lang w:val="zh-TW"/>
        </w:rPr>
      </w:pPr>
      <w:r>
        <w:rPr>
          <w:color w:val="auto"/>
          <w:highlight w:val="none"/>
        </w:rPr>
        <w:t>2.工作机制：（1）驻场与非驻场结合，在招标、谈判、移交、试运营等关键阶段提供现场支持，日常以书面咨询、会议、线上沟通方式服务；（2）项目例会，双周召开项目例会，通报进展、解决问题；（3）响应时限，一般事项2个工作日内书面答复，紧急事项即时响应、24小时内反馈；（4）书面成果，重大法律意见、方案、风险提示均出具书面文件并归档，全程留痕；（5）质量内控，日常法律意见书实行两审制度、重大事项实行团队集体论证制度；（6）档案管理，项目资料按规范管理，服务期满按约定移交发包人。</w:t>
      </w:r>
    </w:p>
    <w:p w14:paraId="1EE8421B">
      <w:pPr>
        <w:pStyle w:val="102"/>
        <w:ind w:firstLine="480" w:firstLineChars="200"/>
        <w:rPr>
          <w:rFonts w:hint="eastAsia" w:cs="宋体"/>
          <w:b/>
          <w:bCs/>
          <w:color w:val="auto"/>
          <w:highlight w:val="none"/>
          <w:lang w:val="zh-TW"/>
        </w:rPr>
      </w:pPr>
      <w:r>
        <w:rPr>
          <w:color w:val="auto"/>
          <w:highlight w:val="none"/>
        </w:rPr>
        <w:t>五、国有企业合规与履职保护要求</w:t>
      </w:r>
    </w:p>
    <w:p w14:paraId="4F3CD5C2">
      <w:pPr>
        <w:pStyle w:val="102"/>
        <w:ind w:firstLine="480" w:firstLineChars="200"/>
        <w:rPr>
          <w:rFonts w:hint="eastAsia" w:cs="宋体"/>
          <w:b/>
          <w:bCs/>
          <w:color w:val="auto"/>
          <w:highlight w:val="none"/>
          <w:lang w:val="zh-TW"/>
        </w:rPr>
      </w:pPr>
      <w:r>
        <w:rPr>
          <w:color w:val="auto"/>
          <w:highlight w:val="none"/>
        </w:rPr>
        <w:t>本项目发包人系国有企业，成交供应商应在服务全流程严格遵循国有资产监管规则：协助履行“三重一大”决策程序、国有资产评估与交易程序（依据《中华人民共和国企业国有资产法》《企业国有资产交易监督管理办法》《企业国有资产评估管理暂行办法》等）；全流程形成书面决策支撑材料、法律意见、会议纪要，确保决策可追溯、可审计；防范违规对外拆借资金、违规担保、向合作方承诺收益兜底、低价处置国有资产等红线事项；开展廉洁风险提示；通过法律意见、程序见证与合规审查，为国有企业领导人员依法履职提供合规支撑。</w:t>
      </w:r>
    </w:p>
    <w:p w14:paraId="6BE1460C">
      <w:pPr>
        <w:pStyle w:val="102"/>
        <w:ind w:firstLine="480" w:firstLineChars="200"/>
        <w:rPr>
          <w:rFonts w:hint="eastAsia" w:cs="宋体"/>
          <w:b/>
          <w:bCs/>
          <w:color w:val="auto"/>
          <w:highlight w:val="none"/>
          <w:lang w:val="zh-TW"/>
        </w:rPr>
      </w:pPr>
      <w:r>
        <w:rPr>
          <w:color w:val="auto"/>
          <w:highlight w:val="none"/>
        </w:rPr>
        <w:t>六、保密、利益冲突与服务承诺要求</w:t>
      </w:r>
    </w:p>
    <w:p w14:paraId="3C491AA5">
      <w:pPr>
        <w:pStyle w:val="102"/>
        <w:ind w:firstLine="480" w:firstLineChars="200"/>
        <w:rPr>
          <w:rFonts w:hint="eastAsia"/>
          <w:color w:val="auto"/>
          <w:highlight w:val="none"/>
        </w:rPr>
      </w:pPr>
      <w:r>
        <w:rPr>
          <w:color w:val="auto"/>
          <w:highlight w:val="none"/>
        </w:rPr>
        <w:t>成交供应商应承诺：（1）对服务过程中知悉的商业秘密、经营信息、财务数据、人员信息严格保密，保密义务不因服务终止而免除；（2）提供服务前进行利益冲突检索，确保与第三方投资机构、运营机构不存在利益冲突，服务期间出现利益冲突情形的，依照律师执业规范及时披露并妥善处理；（3）服务团队成员保持稳定，服务期内不因内部原因随意更换，确需调整的提前征得发包人书面同意并做好工作交接；（4）通过专题培训、随案指导等方式，向发包方相关人员传导法律知识与风险防范要点；（5）服务档案完整归档，保证服务调整或期满后发包方可顺利衔接；（6）与发包人既有法律顾问、审计机构、招标代理机构、投资决策分析机构、评估机构等做好衔接配合，统一法律口径。</w:t>
      </w:r>
    </w:p>
    <w:p w14:paraId="5B8FEF27">
      <w:pPr>
        <w:rPr>
          <w:rFonts w:hint="eastAsia" w:ascii="宋体" w:hAnsi="宋体"/>
          <w:color w:val="auto"/>
          <w:sz w:val="24"/>
          <w:highlight w:val="none"/>
        </w:rPr>
      </w:pPr>
      <w:r>
        <w:rPr>
          <w:rFonts w:hint="eastAsia"/>
          <w:color w:val="auto"/>
          <w:highlight w:val="none"/>
        </w:rPr>
        <w:br w:type="page"/>
      </w:r>
    </w:p>
    <w:p w14:paraId="3BD68263">
      <w:pPr>
        <w:pStyle w:val="102"/>
        <w:ind w:firstLine="482" w:firstLineChars="200"/>
        <w:rPr>
          <w:rFonts w:hint="eastAsia" w:cs="宋体"/>
          <w:b/>
          <w:bCs/>
          <w:color w:val="auto"/>
          <w:highlight w:val="none"/>
          <w:lang w:val="zh-TW"/>
        </w:rPr>
      </w:pPr>
    </w:p>
    <w:p w14:paraId="2F54D3ED">
      <w:pPr>
        <w:pStyle w:val="2"/>
        <w:spacing w:line="480" w:lineRule="exact"/>
        <w:jc w:val="center"/>
        <w:rPr>
          <w:rFonts w:eastAsia="黑体"/>
          <w:color w:val="auto"/>
          <w:sz w:val="36"/>
          <w:szCs w:val="36"/>
          <w:highlight w:val="none"/>
        </w:rPr>
      </w:pPr>
      <w:bookmarkStart w:id="139" w:name="_Toc243176594"/>
      <w:r>
        <w:rPr>
          <w:rFonts w:eastAsia="黑体"/>
          <w:color w:val="auto"/>
          <w:sz w:val="36"/>
          <w:szCs w:val="36"/>
          <w:highlight w:val="none"/>
        </w:rPr>
        <w:t>第六章  竞争性磋商响应文件格式</w:t>
      </w:r>
      <w:bookmarkEnd w:id="139"/>
    </w:p>
    <w:p w14:paraId="6452FB45">
      <w:pPr>
        <w:rPr>
          <w:color w:val="auto"/>
          <w:highlight w:val="none"/>
        </w:rPr>
      </w:pPr>
    </w:p>
    <w:p w14:paraId="5E7E6D8A">
      <w:pPr>
        <w:spacing w:line="360" w:lineRule="auto"/>
        <w:jc w:val="center"/>
        <w:rPr>
          <w:rFonts w:hint="eastAsia" w:ascii="宋体" w:hAnsi="宋体" w:eastAsia="宋体"/>
          <w:b/>
          <w:bCs/>
          <w:color w:val="auto"/>
          <w:sz w:val="32"/>
          <w:szCs w:val="32"/>
          <w:highlight w:val="none"/>
          <w:lang w:eastAsia="zh-CN"/>
        </w:rPr>
      </w:pPr>
      <w:r>
        <w:rPr>
          <w:rFonts w:hint="eastAsia"/>
          <w:b/>
          <w:bCs/>
          <w:color w:val="auto"/>
          <w:sz w:val="32"/>
          <w:szCs w:val="32"/>
          <w:highlight w:val="none"/>
          <w:lang w:eastAsia="zh-CN"/>
        </w:rPr>
        <w:t>云南民族村整体改造及运营提升专项法律服务项目</w:t>
      </w:r>
    </w:p>
    <w:p w14:paraId="333D416B">
      <w:pPr>
        <w:spacing w:line="276" w:lineRule="auto"/>
        <w:jc w:val="center"/>
        <w:rPr>
          <w:rFonts w:hint="eastAsia" w:ascii="宋体" w:hAnsi="宋体"/>
          <w:color w:val="auto"/>
          <w:sz w:val="84"/>
          <w:szCs w:val="84"/>
          <w:highlight w:val="none"/>
        </w:rPr>
      </w:pPr>
    </w:p>
    <w:p w14:paraId="50036A21">
      <w:pPr>
        <w:spacing w:line="276" w:lineRule="auto"/>
        <w:jc w:val="center"/>
        <w:rPr>
          <w:rFonts w:hint="eastAsia" w:ascii="宋体" w:hAnsi="宋体"/>
          <w:color w:val="auto"/>
          <w:sz w:val="84"/>
          <w:szCs w:val="84"/>
          <w:highlight w:val="none"/>
        </w:rPr>
      </w:pPr>
      <w:r>
        <w:rPr>
          <w:rFonts w:hint="eastAsia" w:ascii="宋体" w:hAnsi="宋体"/>
          <w:color w:val="auto"/>
          <w:sz w:val="84"/>
          <w:szCs w:val="84"/>
          <w:highlight w:val="none"/>
        </w:rPr>
        <w:t>响应</w:t>
      </w:r>
      <w:r>
        <w:rPr>
          <w:rFonts w:ascii="宋体" w:hAnsi="宋体"/>
          <w:color w:val="auto"/>
          <w:sz w:val="84"/>
          <w:szCs w:val="84"/>
          <w:highlight w:val="none"/>
        </w:rPr>
        <w:t>文件</w:t>
      </w:r>
    </w:p>
    <w:p w14:paraId="2E0B6009">
      <w:pPr>
        <w:spacing w:line="276" w:lineRule="auto"/>
        <w:jc w:val="center"/>
        <w:rPr>
          <w:rFonts w:eastAsia="黑体"/>
          <w:bCs/>
          <w:color w:val="auto"/>
          <w:sz w:val="32"/>
          <w:szCs w:val="32"/>
          <w:highlight w:val="none"/>
        </w:rPr>
      </w:pPr>
      <w:r>
        <w:rPr>
          <w:rFonts w:hint="eastAsia" w:eastAsia="黑体"/>
          <w:bCs/>
          <w:color w:val="auto"/>
          <w:sz w:val="32"/>
          <w:szCs w:val="32"/>
          <w:highlight w:val="none"/>
        </w:rPr>
        <w:t>项目编号：【　　　　】</w:t>
      </w:r>
    </w:p>
    <w:p w14:paraId="05701044">
      <w:pPr>
        <w:jc w:val="center"/>
        <w:rPr>
          <w:rFonts w:hint="eastAsia" w:ascii="宋体" w:hAnsi="宋体"/>
          <w:b/>
          <w:color w:val="auto"/>
          <w:sz w:val="72"/>
          <w:szCs w:val="72"/>
          <w:highlight w:val="none"/>
        </w:rPr>
      </w:pPr>
    </w:p>
    <w:p w14:paraId="372CAFC2">
      <w:pPr>
        <w:jc w:val="center"/>
        <w:rPr>
          <w:rFonts w:hint="eastAsia" w:ascii="宋体" w:hAnsi="宋体"/>
          <w:b/>
          <w:color w:val="auto"/>
          <w:sz w:val="72"/>
          <w:szCs w:val="72"/>
          <w:highlight w:val="none"/>
        </w:rPr>
      </w:pPr>
      <w:bookmarkStart w:id="165" w:name="_GoBack"/>
      <w:bookmarkEnd w:id="165"/>
    </w:p>
    <w:p w14:paraId="485F8203">
      <w:pPr>
        <w:jc w:val="center"/>
        <w:rPr>
          <w:rFonts w:hint="eastAsia" w:ascii="宋体" w:hAnsi="宋体"/>
          <w:b/>
          <w:color w:val="auto"/>
          <w:sz w:val="72"/>
          <w:szCs w:val="72"/>
          <w:highlight w:val="none"/>
        </w:rPr>
      </w:pPr>
    </w:p>
    <w:p w14:paraId="130B9372">
      <w:pPr>
        <w:snapToGrid w:val="0"/>
        <w:spacing w:line="480" w:lineRule="auto"/>
        <w:ind w:firstLine="1166" w:firstLineChars="387"/>
        <w:rPr>
          <w:rFonts w:hint="eastAsia" w:ascii="宋体" w:hAnsi="宋体"/>
          <w:b/>
          <w:color w:val="auto"/>
          <w:sz w:val="30"/>
          <w:highlight w:val="none"/>
        </w:rPr>
      </w:pPr>
      <w:r>
        <w:rPr>
          <w:rFonts w:hint="eastAsia" w:ascii="宋体" w:hAnsi="宋体"/>
          <w:b/>
          <w:color w:val="auto"/>
          <w:sz w:val="30"/>
          <w:highlight w:val="none"/>
        </w:rPr>
        <w:t xml:space="preserve">供应商（电子签章）：                             </w:t>
      </w:r>
    </w:p>
    <w:p w14:paraId="3E243489">
      <w:pPr>
        <w:snapToGrid w:val="0"/>
        <w:ind w:firstLine="1178" w:firstLineChars="391"/>
        <w:rPr>
          <w:rFonts w:hint="eastAsia" w:ascii="宋体" w:hAnsi="宋体"/>
          <w:b/>
          <w:color w:val="auto"/>
          <w:sz w:val="30"/>
          <w:highlight w:val="none"/>
        </w:rPr>
      </w:pPr>
      <w:r>
        <w:rPr>
          <w:rFonts w:ascii="宋体" w:hAnsi="宋体"/>
          <w:b/>
          <w:color w:val="auto"/>
          <w:sz w:val="30"/>
          <w:highlight w:val="none"/>
        </w:rPr>
        <w:t>法 定 代 表 人</w:t>
      </w:r>
    </w:p>
    <w:p w14:paraId="0E00477C">
      <w:pPr>
        <w:snapToGrid w:val="0"/>
        <w:ind w:firstLine="1178" w:firstLineChars="391"/>
        <w:rPr>
          <w:rFonts w:hint="eastAsia" w:ascii="宋体" w:hAnsi="宋体"/>
          <w:b/>
          <w:color w:val="auto"/>
          <w:sz w:val="30"/>
          <w:highlight w:val="none"/>
        </w:rPr>
      </w:pPr>
      <w:r>
        <w:rPr>
          <w:rFonts w:ascii="宋体" w:hAnsi="宋体"/>
          <w:b/>
          <w:color w:val="auto"/>
          <w:sz w:val="30"/>
          <w:highlight w:val="none"/>
        </w:rPr>
        <w:t>或其委托代理人（</w:t>
      </w:r>
      <w:r>
        <w:rPr>
          <w:rFonts w:hint="eastAsia" w:ascii="宋体" w:hAnsi="宋体"/>
          <w:b/>
          <w:color w:val="auto"/>
          <w:sz w:val="30"/>
          <w:highlight w:val="none"/>
        </w:rPr>
        <w:t>签字或电子签章</w:t>
      </w:r>
      <w:r>
        <w:rPr>
          <w:rFonts w:ascii="宋体" w:hAnsi="宋体"/>
          <w:b/>
          <w:color w:val="auto"/>
          <w:sz w:val="30"/>
          <w:highlight w:val="none"/>
        </w:rPr>
        <w:t>）：</w:t>
      </w:r>
      <w:r>
        <w:rPr>
          <w:rFonts w:ascii="宋体" w:hAnsi="宋体"/>
          <w:b/>
          <w:color w:val="auto"/>
          <w:sz w:val="30"/>
          <w:highlight w:val="none"/>
          <w:u w:val="single"/>
        </w:rPr>
        <w:t xml:space="preserve">                 </w:t>
      </w:r>
    </w:p>
    <w:p w14:paraId="3BC3201C">
      <w:pPr>
        <w:snapToGrid w:val="0"/>
        <w:spacing w:before="480" w:line="360" w:lineRule="auto"/>
        <w:ind w:firstLine="1178" w:firstLineChars="391"/>
        <w:rPr>
          <w:rFonts w:hint="eastAsia" w:ascii="宋体" w:hAnsi="宋体"/>
          <w:b/>
          <w:color w:val="auto"/>
          <w:sz w:val="30"/>
          <w:highlight w:val="none"/>
        </w:rPr>
      </w:pPr>
      <w:r>
        <w:rPr>
          <w:rFonts w:ascii="宋体" w:hAnsi="宋体"/>
          <w:b/>
          <w:color w:val="auto"/>
          <w:sz w:val="30"/>
          <w:highlight w:val="none"/>
        </w:rPr>
        <w:t>日  期：</w:t>
      </w:r>
      <w:r>
        <w:rPr>
          <w:rFonts w:ascii="宋体" w:hAnsi="宋体"/>
          <w:b/>
          <w:color w:val="auto"/>
          <w:sz w:val="30"/>
          <w:highlight w:val="none"/>
          <w:u w:val="single"/>
        </w:rPr>
        <w:t xml:space="preserve">      </w:t>
      </w:r>
      <w:r>
        <w:rPr>
          <w:rFonts w:ascii="宋体" w:hAnsi="宋体"/>
          <w:b/>
          <w:color w:val="auto"/>
          <w:sz w:val="30"/>
          <w:highlight w:val="none"/>
        </w:rPr>
        <w:t xml:space="preserve"> 年</w:t>
      </w:r>
      <w:r>
        <w:rPr>
          <w:rFonts w:ascii="宋体" w:hAnsi="宋体"/>
          <w:b/>
          <w:color w:val="auto"/>
          <w:sz w:val="30"/>
          <w:highlight w:val="none"/>
          <w:u w:val="single"/>
        </w:rPr>
        <w:t xml:space="preserve">     </w:t>
      </w:r>
      <w:r>
        <w:rPr>
          <w:rFonts w:ascii="宋体" w:hAnsi="宋体"/>
          <w:b/>
          <w:color w:val="auto"/>
          <w:sz w:val="30"/>
          <w:highlight w:val="none"/>
        </w:rPr>
        <w:t xml:space="preserve"> 月</w:t>
      </w:r>
      <w:r>
        <w:rPr>
          <w:rFonts w:ascii="宋体" w:hAnsi="宋体"/>
          <w:b/>
          <w:color w:val="auto"/>
          <w:sz w:val="30"/>
          <w:highlight w:val="none"/>
          <w:u w:val="single"/>
        </w:rPr>
        <w:t xml:space="preserve">     </w:t>
      </w:r>
      <w:r>
        <w:rPr>
          <w:rFonts w:ascii="宋体" w:hAnsi="宋体"/>
          <w:b/>
          <w:color w:val="auto"/>
          <w:sz w:val="30"/>
          <w:highlight w:val="none"/>
        </w:rPr>
        <w:t>日</w:t>
      </w:r>
    </w:p>
    <w:p w14:paraId="47B3B7A0">
      <w:pPr>
        <w:pStyle w:val="3"/>
        <w:spacing w:line="360" w:lineRule="auto"/>
        <w:jc w:val="center"/>
        <w:rPr>
          <w:color w:val="auto"/>
          <w:highlight w:val="none"/>
        </w:rPr>
      </w:pPr>
      <w:r>
        <w:rPr>
          <w:color w:val="auto"/>
          <w:highlight w:val="none"/>
        </w:rPr>
        <w:br w:type="page"/>
      </w:r>
      <w:bookmarkStart w:id="140" w:name="_Toc243176595"/>
      <w:r>
        <w:rPr>
          <w:color w:val="auto"/>
          <w:highlight w:val="none"/>
        </w:rPr>
        <w:t>一、资格审查部分格式</w:t>
      </w:r>
      <w:bookmarkEnd w:id="140"/>
    </w:p>
    <w:p w14:paraId="54984CB7">
      <w:pPr>
        <w:pStyle w:val="3"/>
        <w:spacing w:line="360" w:lineRule="auto"/>
        <w:jc w:val="center"/>
        <w:rPr>
          <w:rFonts w:ascii="Times New Roman" w:hAnsi="Times New Roman"/>
          <w:color w:val="auto"/>
          <w:sz w:val="30"/>
          <w:szCs w:val="30"/>
          <w:highlight w:val="none"/>
        </w:rPr>
      </w:pPr>
      <w:bookmarkStart w:id="141" w:name="_Toc243176596"/>
      <w:r>
        <w:rPr>
          <w:rFonts w:ascii="Times New Roman" w:hAnsi="Times New Roman"/>
          <w:color w:val="auto"/>
          <w:sz w:val="30"/>
          <w:szCs w:val="30"/>
          <w:highlight w:val="none"/>
        </w:rPr>
        <w:t>（一）竞争性磋商函</w:t>
      </w:r>
      <w:bookmarkEnd w:id="141"/>
    </w:p>
    <w:p w14:paraId="71C3EF48">
      <w:pPr>
        <w:spacing w:line="360" w:lineRule="auto"/>
        <w:rPr>
          <w:color w:val="auto"/>
          <w:sz w:val="21"/>
          <w:szCs w:val="21"/>
          <w:highlight w:val="none"/>
        </w:rPr>
      </w:pPr>
      <w:r>
        <w:rPr>
          <w:color w:val="auto"/>
          <w:sz w:val="21"/>
          <w:szCs w:val="21"/>
          <w:highlight w:val="none"/>
        </w:rPr>
        <w:t>致：</w:t>
      </w:r>
      <w:r>
        <w:rPr>
          <w:color w:val="auto"/>
          <w:sz w:val="21"/>
          <w:szCs w:val="21"/>
          <w:highlight w:val="none"/>
          <w:u w:val="single"/>
        </w:rPr>
        <w:t>云南民族村有限责任公司（发包人名称）</w:t>
      </w:r>
    </w:p>
    <w:p w14:paraId="04BF7F17">
      <w:pPr>
        <w:spacing w:line="360" w:lineRule="auto"/>
        <w:rPr>
          <w:color w:val="auto"/>
          <w:sz w:val="21"/>
          <w:szCs w:val="21"/>
          <w:highlight w:val="none"/>
        </w:rPr>
      </w:pPr>
      <w:r>
        <w:rPr>
          <w:color w:val="auto"/>
          <w:sz w:val="21"/>
          <w:szCs w:val="21"/>
          <w:highlight w:val="none"/>
        </w:rPr>
        <w:t>1、根据你方项目编号为【　　】的《</w:t>
      </w:r>
      <w:r>
        <w:rPr>
          <w:rFonts w:hint="eastAsia"/>
          <w:color w:val="auto"/>
          <w:sz w:val="21"/>
          <w:szCs w:val="21"/>
          <w:highlight w:val="none"/>
          <w:lang w:eastAsia="zh-CN"/>
        </w:rPr>
        <w:t>云南民族村整体改造及运营提升专项法律服务项目</w:t>
      </w:r>
      <w:r>
        <w:rPr>
          <w:color w:val="auto"/>
          <w:sz w:val="21"/>
          <w:szCs w:val="21"/>
          <w:highlight w:val="none"/>
        </w:rPr>
        <w:t>》竞争性磋商文件，遵照《中华人民共和国政府采购法》《中华人民共和国招标投标法》《政府采购竞争性磋商采购方式管理暂行办法》等有关规定，经踏勘项目现场和研究上述竞争性磋商文件的供应商须知、合同条款、服务要求、评审办法以及其他有关文件后，我方愿意以本竞争性磋商响应文件所载明的各阶段磋商报价及合计总价，按上述合同条款、服务要求完成本项目专项法律服务全部工作。</w:t>
      </w:r>
    </w:p>
    <w:p w14:paraId="417B586B">
      <w:pPr>
        <w:spacing w:line="360" w:lineRule="auto"/>
        <w:rPr>
          <w:color w:val="auto"/>
          <w:sz w:val="21"/>
          <w:szCs w:val="21"/>
          <w:highlight w:val="none"/>
        </w:rPr>
      </w:pPr>
      <w:r>
        <w:rPr>
          <w:color w:val="auto"/>
          <w:sz w:val="21"/>
          <w:szCs w:val="21"/>
          <w:highlight w:val="none"/>
        </w:rPr>
        <w:t>2、我方承诺我们的磋商报价不低于我们自身的成本。</w:t>
      </w:r>
    </w:p>
    <w:p w14:paraId="33FBCA27">
      <w:pPr>
        <w:spacing w:line="360" w:lineRule="auto"/>
        <w:rPr>
          <w:color w:val="auto"/>
          <w:sz w:val="21"/>
          <w:szCs w:val="21"/>
          <w:highlight w:val="none"/>
        </w:rPr>
      </w:pPr>
      <w:r>
        <w:rPr>
          <w:color w:val="auto"/>
          <w:sz w:val="21"/>
          <w:szCs w:val="21"/>
          <w:highlight w:val="none"/>
        </w:rPr>
        <w:t>3、我方已详细审核全部竞争性磋商文件，包括修改文件（如有）及有关附件，并充分理解磋商报价、二次报价（最终报价）的规则。</w:t>
      </w:r>
    </w:p>
    <w:p w14:paraId="5D87065E">
      <w:pPr>
        <w:spacing w:line="360" w:lineRule="auto"/>
        <w:rPr>
          <w:color w:val="auto"/>
          <w:sz w:val="21"/>
          <w:szCs w:val="21"/>
          <w:highlight w:val="none"/>
        </w:rPr>
      </w:pPr>
      <w:r>
        <w:rPr>
          <w:color w:val="auto"/>
          <w:sz w:val="21"/>
          <w:szCs w:val="21"/>
          <w:highlight w:val="none"/>
        </w:rPr>
        <w:t>4、一旦我方成交，我方保证按合同约定的服务期限和服务要求完成本项目全部专项法律服务工作。</w:t>
      </w:r>
    </w:p>
    <w:p w14:paraId="200C39F0">
      <w:pPr>
        <w:spacing w:line="360" w:lineRule="auto"/>
        <w:rPr>
          <w:color w:val="auto"/>
          <w:sz w:val="21"/>
          <w:szCs w:val="21"/>
          <w:highlight w:val="none"/>
        </w:rPr>
      </w:pPr>
      <w:r>
        <w:rPr>
          <w:color w:val="auto"/>
          <w:sz w:val="21"/>
          <w:szCs w:val="21"/>
          <w:highlight w:val="none"/>
        </w:rPr>
        <w:t>5、我方同意所提交的竞争性磋商响应文件在竞争性磋商文件的磋商须知前附表中规定的竞争性磋商有效期内有效，在此期间内如果成交，我方将受此约束。</w:t>
      </w:r>
    </w:p>
    <w:p w14:paraId="10177459">
      <w:pPr>
        <w:spacing w:line="360" w:lineRule="auto"/>
        <w:rPr>
          <w:color w:val="auto"/>
          <w:sz w:val="21"/>
          <w:szCs w:val="21"/>
          <w:highlight w:val="none"/>
        </w:rPr>
      </w:pPr>
      <w:r>
        <w:rPr>
          <w:color w:val="auto"/>
          <w:sz w:val="21"/>
          <w:szCs w:val="21"/>
          <w:highlight w:val="none"/>
        </w:rPr>
        <w:t>6、除非另外达成协议并生效，你方的成交（中标）通知书和本竞争性磋商响应文件将成为约束双方的合同文件的组成部分。</w:t>
      </w:r>
    </w:p>
    <w:p w14:paraId="6ED72ABC">
      <w:pPr>
        <w:spacing w:line="360" w:lineRule="auto"/>
        <w:rPr>
          <w:color w:val="auto"/>
          <w:sz w:val="21"/>
          <w:szCs w:val="21"/>
          <w:highlight w:val="none"/>
        </w:rPr>
      </w:pPr>
      <w:r>
        <w:rPr>
          <w:color w:val="auto"/>
          <w:sz w:val="21"/>
          <w:szCs w:val="21"/>
          <w:highlight w:val="none"/>
        </w:rPr>
        <w:t>7、我方承诺在本次磋商过程中，如磋商小组要求提交二次报价（最终报价），我方将按磋商小组规定的时间和要求提交，二次报价作为我方最终报价并纳入磋商报价评审。</w:t>
      </w:r>
    </w:p>
    <w:p w14:paraId="4F8F552C">
      <w:pPr>
        <w:spacing w:line="360" w:lineRule="auto"/>
        <w:ind w:firstLine="420" w:firstLineChars="200"/>
        <w:rPr>
          <w:color w:val="auto"/>
          <w:sz w:val="21"/>
          <w:szCs w:val="21"/>
          <w:highlight w:val="none"/>
        </w:rPr>
      </w:pPr>
    </w:p>
    <w:p w14:paraId="48C361F5">
      <w:pPr>
        <w:spacing w:line="360" w:lineRule="auto"/>
        <w:ind w:firstLine="420" w:firstLineChars="200"/>
        <w:rPr>
          <w:color w:val="auto"/>
          <w:sz w:val="21"/>
          <w:szCs w:val="21"/>
          <w:highlight w:val="none"/>
        </w:rPr>
      </w:pPr>
      <w:r>
        <w:rPr>
          <w:rFonts w:hint="eastAsia"/>
          <w:color w:val="auto"/>
          <w:sz w:val="21"/>
          <w:szCs w:val="21"/>
          <w:highlight w:val="none"/>
        </w:rPr>
        <w:t xml:space="preserve">供应商（电子签章）：                    </w:t>
      </w:r>
    </w:p>
    <w:p w14:paraId="0A91E034">
      <w:pPr>
        <w:spacing w:line="360" w:lineRule="auto"/>
        <w:ind w:firstLine="420" w:firstLineChars="200"/>
        <w:rPr>
          <w:color w:val="auto"/>
          <w:sz w:val="21"/>
          <w:szCs w:val="21"/>
          <w:highlight w:val="none"/>
        </w:rPr>
      </w:pPr>
      <w:r>
        <w:rPr>
          <w:rFonts w:hint="eastAsia"/>
          <w:color w:val="auto"/>
          <w:sz w:val="21"/>
          <w:szCs w:val="21"/>
          <w:highlight w:val="none"/>
        </w:rPr>
        <w:t>单位地址：</w:t>
      </w:r>
      <w:r>
        <w:rPr>
          <w:rFonts w:hint="eastAsia"/>
          <w:color w:val="auto"/>
          <w:sz w:val="21"/>
          <w:szCs w:val="21"/>
          <w:highlight w:val="none"/>
          <w:u w:val="single"/>
        </w:rPr>
        <w:tab/>
      </w:r>
      <w:r>
        <w:rPr>
          <w:rFonts w:hint="eastAsia"/>
          <w:color w:val="auto"/>
          <w:sz w:val="21"/>
          <w:szCs w:val="21"/>
          <w:highlight w:val="none"/>
          <w:u w:val="single"/>
        </w:rPr>
        <w:tab/>
      </w:r>
      <w:r>
        <w:rPr>
          <w:rFonts w:hint="eastAsia"/>
          <w:color w:val="auto"/>
          <w:sz w:val="21"/>
          <w:szCs w:val="21"/>
          <w:highlight w:val="none"/>
          <w:u w:val="single"/>
        </w:rPr>
        <w:tab/>
      </w:r>
      <w:r>
        <w:rPr>
          <w:rFonts w:hint="eastAsia"/>
          <w:color w:val="auto"/>
          <w:sz w:val="21"/>
          <w:szCs w:val="21"/>
          <w:highlight w:val="none"/>
          <w:u w:val="single"/>
        </w:rPr>
        <w:tab/>
      </w:r>
      <w:r>
        <w:rPr>
          <w:rFonts w:hint="eastAsia"/>
          <w:color w:val="auto"/>
          <w:sz w:val="21"/>
          <w:szCs w:val="21"/>
          <w:highlight w:val="none"/>
          <w:u w:val="single"/>
        </w:rPr>
        <w:tab/>
      </w:r>
      <w:r>
        <w:rPr>
          <w:rFonts w:hint="eastAsia"/>
          <w:color w:val="auto"/>
          <w:sz w:val="21"/>
          <w:szCs w:val="21"/>
          <w:highlight w:val="none"/>
          <w:u w:val="single"/>
        </w:rPr>
        <w:tab/>
      </w:r>
      <w:r>
        <w:rPr>
          <w:rFonts w:hint="eastAsia"/>
          <w:color w:val="auto"/>
          <w:sz w:val="21"/>
          <w:szCs w:val="21"/>
          <w:highlight w:val="none"/>
          <w:u w:val="single"/>
        </w:rPr>
        <w:tab/>
      </w:r>
      <w:r>
        <w:rPr>
          <w:rFonts w:hint="eastAsia"/>
          <w:color w:val="auto"/>
          <w:sz w:val="21"/>
          <w:szCs w:val="21"/>
          <w:highlight w:val="none"/>
          <w:u w:val="single"/>
        </w:rPr>
        <w:t xml:space="preserve">       </w:t>
      </w:r>
      <w:r>
        <w:rPr>
          <w:rFonts w:hint="eastAsia"/>
          <w:color w:val="auto"/>
          <w:sz w:val="21"/>
          <w:szCs w:val="21"/>
          <w:highlight w:val="none"/>
          <w:u w:val="single"/>
        </w:rPr>
        <w:tab/>
      </w:r>
    </w:p>
    <w:p w14:paraId="1952E975">
      <w:pPr>
        <w:spacing w:line="360" w:lineRule="auto"/>
        <w:ind w:firstLine="420" w:firstLineChars="200"/>
        <w:rPr>
          <w:color w:val="auto"/>
          <w:sz w:val="21"/>
          <w:szCs w:val="21"/>
          <w:highlight w:val="none"/>
          <w:u w:val="single"/>
        </w:rPr>
      </w:pPr>
      <w:r>
        <w:rPr>
          <w:rFonts w:hint="eastAsia"/>
          <w:color w:val="auto"/>
          <w:sz w:val="21"/>
          <w:szCs w:val="21"/>
          <w:highlight w:val="none"/>
        </w:rPr>
        <w:t>法 定 代 表 人或其委托代理人（签字或电子签章）：</w:t>
      </w:r>
      <w:r>
        <w:rPr>
          <w:rFonts w:hint="eastAsia"/>
          <w:color w:val="auto"/>
          <w:sz w:val="21"/>
          <w:szCs w:val="21"/>
          <w:highlight w:val="none"/>
          <w:u w:val="single"/>
        </w:rPr>
        <w:t xml:space="preserve">                    </w:t>
      </w:r>
    </w:p>
    <w:p w14:paraId="1CD2FAAF">
      <w:pPr>
        <w:spacing w:line="360" w:lineRule="auto"/>
        <w:ind w:left="426"/>
        <w:rPr>
          <w:color w:val="auto"/>
          <w:sz w:val="21"/>
          <w:szCs w:val="21"/>
          <w:highlight w:val="none"/>
        </w:rPr>
      </w:pPr>
      <w:r>
        <w:rPr>
          <w:rFonts w:hint="eastAsia"/>
          <w:color w:val="auto"/>
          <w:sz w:val="21"/>
          <w:szCs w:val="21"/>
          <w:highlight w:val="none"/>
        </w:rPr>
        <w:t>邮政编码：</w:t>
      </w:r>
      <w:r>
        <w:rPr>
          <w:rFonts w:hint="eastAsia"/>
          <w:color w:val="auto"/>
          <w:sz w:val="21"/>
          <w:szCs w:val="21"/>
          <w:highlight w:val="none"/>
          <w:u w:val="single"/>
        </w:rPr>
        <w:tab/>
      </w:r>
      <w:r>
        <w:rPr>
          <w:rFonts w:hint="eastAsia"/>
          <w:color w:val="auto"/>
          <w:sz w:val="21"/>
          <w:szCs w:val="21"/>
          <w:highlight w:val="none"/>
          <w:u w:val="single"/>
        </w:rPr>
        <w:tab/>
      </w:r>
      <w:r>
        <w:rPr>
          <w:rFonts w:hint="eastAsia"/>
          <w:color w:val="auto"/>
          <w:sz w:val="21"/>
          <w:szCs w:val="21"/>
          <w:highlight w:val="none"/>
        </w:rPr>
        <w:t>电话：</w:t>
      </w:r>
      <w:r>
        <w:rPr>
          <w:rFonts w:hint="eastAsia"/>
          <w:color w:val="auto"/>
          <w:sz w:val="21"/>
          <w:szCs w:val="21"/>
          <w:highlight w:val="none"/>
          <w:u w:val="single"/>
        </w:rPr>
        <w:tab/>
      </w:r>
      <w:r>
        <w:rPr>
          <w:rFonts w:hint="eastAsia"/>
          <w:color w:val="auto"/>
          <w:sz w:val="21"/>
          <w:szCs w:val="21"/>
          <w:highlight w:val="none"/>
          <w:u w:val="single"/>
        </w:rPr>
        <w:tab/>
      </w:r>
      <w:r>
        <w:rPr>
          <w:rFonts w:hint="eastAsia"/>
          <w:color w:val="auto"/>
          <w:sz w:val="21"/>
          <w:szCs w:val="21"/>
          <w:highlight w:val="none"/>
        </w:rPr>
        <w:t xml:space="preserve"> 传真：</w:t>
      </w:r>
      <w:r>
        <w:rPr>
          <w:rFonts w:hint="eastAsia"/>
          <w:color w:val="auto"/>
          <w:sz w:val="21"/>
          <w:szCs w:val="21"/>
          <w:highlight w:val="none"/>
          <w:u w:val="single"/>
        </w:rPr>
        <w:tab/>
      </w:r>
      <w:r>
        <w:rPr>
          <w:rFonts w:hint="eastAsia"/>
          <w:color w:val="auto"/>
          <w:sz w:val="21"/>
          <w:szCs w:val="21"/>
          <w:highlight w:val="none"/>
          <w:u w:val="single"/>
        </w:rPr>
        <w:tab/>
      </w:r>
      <w:r>
        <w:rPr>
          <w:rFonts w:hint="eastAsia"/>
          <w:color w:val="auto"/>
          <w:sz w:val="21"/>
          <w:szCs w:val="21"/>
          <w:highlight w:val="none"/>
          <w:u w:val="single"/>
        </w:rPr>
        <w:t xml:space="preserve">    </w:t>
      </w:r>
    </w:p>
    <w:p w14:paraId="64E7C27F">
      <w:pPr>
        <w:spacing w:line="360" w:lineRule="auto"/>
        <w:ind w:firstLine="447" w:firstLineChars="213"/>
        <w:rPr>
          <w:color w:val="auto"/>
          <w:sz w:val="21"/>
          <w:szCs w:val="21"/>
          <w:highlight w:val="none"/>
        </w:rPr>
      </w:pPr>
      <w:r>
        <w:rPr>
          <w:rFonts w:hint="eastAsia"/>
          <w:color w:val="auto"/>
          <w:sz w:val="21"/>
          <w:szCs w:val="21"/>
          <w:highlight w:val="none"/>
        </w:rPr>
        <w:t>开户银行名称：</w:t>
      </w:r>
      <w:r>
        <w:rPr>
          <w:rFonts w:hint="eastAsia"/>
          <w:color w:val="auto"/>
          <w:sz w:val="21"/>
          <w:szCs w:val="21"/>
          <w:highlight w:val="none"/>
          <w:u w:val="single"/>
        </w:rPr>
        <w:tab/>
      </w:r>
      <w:r>
        <w:rPr>
          <w:rFonts w:hint="eastAsia"/>
          <w:color w:val="auto"/>
          <w:sz w:val="21"/>
          <w:szCs w:val="21"/>
          <w:highlight w:val="none"/>
          <w:u w:val="single"/>
        </w:rPr>
        <w:tab/>
      </w:r>
      <w:r>
        <w:rPr>
          <w:rFonts w:hint="eastAsia"/>
          <w:color w:val="auto"/>
          <w:sz w:val="21"/>
          <w:szCs w:val="21"/>
          <w:highlight w:val="none"/>
          <w:u w:val="single"/>
        </w:rPr>
        <w:tab/>
      </w:r>
      <w:r>
        <w:rPr>
          <w:rFonts w:hint="eastAsia"/>
          <w:color w:val="auto"/>
          <w:sz w:val="21"/>
          <w:szCs w:val="21"/>
          <w:highlight w:val="none"/>
          <w:u w:val="single"/>
        </w:rPr>
        <w:tab/>
      </w:r>
      <w:r>
        <w:rPr>
          <w:rFonts w:hint="eastAsia"/>
          <w:color w:val="auto"/>
          <w:sz w:val="21"/>
          <w:szCs w:val="21"/>
          <w:highlight w:val="none"/>
          <w:u w:val="single"/>
        </w:rPr>
        <w:tab/>
      </w:r>
      <w:r>
        <w:rPr>
          <w:rFonts w:hint="eastAsia"/>
          <w:color w:val="auto"/>
          <w:sz w:val="21"/>
          <w:szCs w:val="21"/>
          <w:highlight w:val="none"/>
          <w:u w:val="single"/>
        </w:rPr>
        <w:tab/>
      </w:r>
      <w:r>
        <w:rPr>
          <w:rFonts w:hint="eastAsia"/>
          <w:color w:val="auto"/>
          <w:sz w:val="21"/>
          <w:szCs w:val="21"/>
          <w:highlight w:val="none"/>
          <w:u w:val="single"/>
        </w:rPr>
        <w:t xml:space="preserve">     </w:t>
      </w:r>
      <w:r>
        <w:rPr>
          <w:rFonts w:hint="eastAsia"/>
          <w:color w:val="auto"/>
          <w:sz w:val="21"/>
          <w:szCs w:val="21"/>
          <w:highlight w:val="none"/>
          <w:u w:val="single"/>
        </w:rPr>
        <w:tab/>
      </w:r>
    </w:p>
    <w:p w14:paraId="2A1D6172">
      <w:pPr>
        <w:spacing w:line="360" w:lineRule="auto"/>
        <w:ind w:firstLine="420" w:firstLineChars="200"/>
        <w:rPr>
          <w:color w:val="auto"/>
          <w:sz w:val="21"/>
          <w:szCs w:val="21"/>
          <w:highlight w:val="none"/>
        </w:rPr>
      </w:pPr>
      <w:r>
        <w:rPr>
          <w:rFonts w:hint="eastAsia"/>
          <w:color w:val="auto"/>
          <w:sz w:val="21"/>
          <w:szCs w:val="21"/>
          <w:highlight w:val="none"/>
        </w:rPr>
        <w:t>开户银行账号：</w:t>
      </w:r>
      <w:r>
        <w:rPr>
          <w:rFonts w:hint="eastAsia"/>
          <w:color w:val="auto"/>
          <w:sz w:val="21"/>
          <w:szCs w:val="21"/>
          <w:highlight w:val="none"/>
          <w:u w:val="single"/>
        </w:rPr>
        <w:tab/>
      </w:r>
      <w:r>
        <w:rPr>
          <w:rFonts w:hint="eastAsia"/>
          <w:color w:val="auto"/>
          <w:sz w:val="21"/>
          <w:szCs w:val="21"/>
          <w:highlight w:val="none"/>
          <w:u w:val="single"/>
        </w:rPr>
        <w:tab/>
      </w:r>
      <w:r>
        <w:rPr>
          <w:rFonts w:hint="eastAsia"/>
          <w:color w:val="auto"/>
          <w:sz w:val="21"/>
          <w:szCs w:val="21"/>
          <w:highlight w:val="none"/>
          <w:u w:val="single"/>
        </w:rPr>
        <w:tab/>
      </w:r>
      <w:r>
        <w:rPr>
          <w:rFonts w:hint="eastAsia"/>
          <w:color w:val="auto"/>
          <w:sz w:val="21"/>
          <w:szCs w:val="21"/>
          <w:highlight w:val="none"/>
          <w:u w:val="single"/>
        </w:rPr>
        <w:tab/>
      </w:r>
      <w:r>
        <w:rPr>
          <w:rFonts w:hint="eastAsia"/>
          <w:color w:val="auto"/>
          <w:sz w:val="21"/>
          <w:szCs w:val="21"/>
          <w:highlight w:val="none"/>
          <w:u w:val="single"/>
        </w:rPr>
        <w:t xml:space="preserve">  </w:t>
      </w:r>
      <w:r>
        <w:rPr>
          <w:rFonts w:hint="eastAsia"/>
          <w:color w:val="auto"/>
          <w:sz w:val="21"/>
          <w:szCs w:val="21"/>
          <w:highlight w:val="none"/>
          <w:u w:val="single"/>
        </w:rPr>
        <w:tab/>
      </w:r>
      <w:r>
        <w:rPr>
          <w:rFonts w:hint="eastAsia"/>
          <w:color w:val="auto"/>
          <w:sz w:val="21"/>
          <w:szCs w:val="21"/>
          <w:highlight w:val="none"/>
          <w:u w:val="single"/>
        </w:rPr>
        <w:t xml:space="preserve">    </w:t>
      </w:r>
      <w:r>
        <w:rPr>
          <w:rFonts w:hint="eastAsia"/>
          <w:color w:val="auto"/>
          <w:sz w:val="21"/>
          <w:szCs w:val="21"/>
          <w:highlight w:val="none"/>
          <w:u w:val="single"/>
        </w:rPr>
        <w:tab/>
      </w:r>
      <w:r>
        <w:rPr>
          <w:rFonts w:hint="eastAsia"/>
          <w:color w:val="auto"/>
          <w:sz w:val="21"/>
          <w:szCs w:val="21"/>
          <w:highlight w:val="none"/>
          <w:u w:val="single"/>
        </w:rPr>
        <w:tab/>
      </w:r>
    </w:p>
    <w:p w14:paraId="44302E0D">
      <w:pPr>
        <w:spacing w:line="360" w:lineRule="auto"/>
        <w:ind w:firstLine="420" w:firstLineChars="200"/>
        <w:rPr>
          <w:color w:val="auto"/>
          <w:sz w:val="21"/>
          <w:szCs w:val="21"/>
          <w:highlight w:val="none"/>
        </w:rPr>
      </w:pPr>
      <w:r>
        <w:rPr>
          <w:rFonts w:hint="eastAsia"/>
          <w:color w:val="auto"/>
          <w:sz w:val="21"/>
          <w:szCs w:val="21"/>
          <w:highlight w:val="none"/>
        </w:rPr>
        <w:t>日期：</w:t>
      </w:r>
      <w:r>
        <w:rPr>
          <w:rFonts w:hint="eastAsia"/>
          <w:color w:val="auto"/>
          <w:sz w:val="21"/>
          <w:szCs w:val="21"/>
          <w:highlight w:val="none"/>
          <w:u w:val="single"/>
        </w:rPr>
        <w:t xml:space="preserve">     </w:t>
      </w:r>
      <w:r>
        <w:rPr>
          <w:rFonts w:hint="eastAsia"/>
          <w:color w:val="auto"/>
          <w:sz w:val="21"/>
          <w:szCs w:val="21"/>
          <w:highlight w:val="none"/>
        </w:rPr>
        <w:t xml:space="preserve">年 </w:t>
      </w:r>
      <w:r>
        <w:rPr>
          <w:rFonts w:hint="eastAsia"/>
          <w:color w:val="auto"/>
          <w:sz w:val="21"/>
          <w:szCs w:val="21"/>
          <w:highlight w:val="none"/>
          <w:u w:val="single"/>
        </w:rPr>
        <w:t xml:space="preserve">     </w:t>
      </w:r>
      <w:r>
        <w:rPr>
          <w:rFonts w:hint="eastAsia"/>
          <w:color w:val="auto"/>
          <w:sz w:val="21"/>
          <w:szCs w:val="21"/>
          <w:highlight w:val="none"/>
        </w:rPr>
        <w:t xml:space="preserve">月 </w:t>
      </w:r>
      <w:r>
        <w:rPr>
          <w:rFonts w:hint="eastAsia"/>
          <w:color w:val="auto"/>
          <w:sz w:val="21"/>
          <w:szCs w:val="21"/>
          <w:highlight w:val="none"/>
          <w:u w:val="single"/>
        </w:rPr>
        <w:t xml:space="preserve">     </w:t>
      </w:r>
      <w:r>
        <w:rPr>
          <w:rFonts w:hint="eastAsia"/>
          <w:color w:val="auto"/>
          <w:sz w:val="21"/>
          <w:szCs w:val="21"/>
          <w:highlight w:val="none"/>
        </w:rPr>
        <w:t>日</w:t>
      </w:r>
    </w:p>
    <w:p w14:paraId="0763882F">
      <w:pPr>
        <w:spacing w:line="360" w:lineRule="auto"/>
        <w:ind w:firstLine="420" w:firstLineChars="200"/>
        <w:rPr>
          <w:color w:val="auto"/>
          <w:sz w:val="21"/>
          <w:szCs w:val="21"/>
          <w:highlight w:val="none"/>
        </w:rPr>
      </w:pPr>
    </w:p>
    <w:p w14:paraId="106C364A">
      <w:pPr>
        <w:rPr>
          <w:color w:val="auto"/>
          <w:highlight w:val="none"/>
        </w:rPr>
      </w:pPr>
      <w:r>
        <w:rPr>
          <w:color w:val="auto"/>
          <w:highlight w:val="none"/>
        </w:rPr>
        <w:br w:type="page"/>
      </w:r>
    </w:p>
    <w:p w14:paraId="226B65BD">
      <w:pPr>
        <w:pStyle w:val="3"/>
        <w:spacing w:line="360" w:lineRule="auto"/>
        <w:jc w:val="center"/>
        <w:rPr>
          <w:rFonts w:ascii="Times New Roman" w:hAnsi="Times New Roman"/>
          <w:color w:val="auto"/>
          <w:sz w:val="30"/>
          <w:szCs w:val="30"/>
          <w:highlight w:val="none"/>
        </w:rPr>
      </w:pPr>
      <w:bookmarkStart w:id="142" w:name="_Toc243176597"/>
      <w:r>
        <w:rPr>
          <w:rFonts w:ascii="Times New Roman" w:hAnsi="Times New Roman"/>
          <w:color w:val="auto"/>
          <w:sz w:val="30"/>
          <w:szCs w:val="30"/>
          <w:highlight w:val="none"/>
        </w:rPr>
        <w:t>（二）法定凭证及律师事务所执业许可证</w:t>
      </w:r>
      <w:bookmarkEnd w:id="142"/>
    </w:p>
    <w:p w14:paraId="0D2AC7A0">
      <w:pPr>
        <w:rPr>
          <w:color w:val="auto"/>
          <w:highlight w:val="none"/>
        </w:rPr>
      </w:pPr>
      <w:r>
        <w:rPr>
          <w:color w:val="auto"/>
          <w:highlight w:val="none"/>
        </w:rPr>
        <w:t>按第三章 评审办法“竞争性磋商评审办法前附表”资格评审标准要求提供。</w:t>
      </w:r>
    </w:p>
    <w:p w14:paraId="3D38EEEF">
      <w:pPr>
        <w:rPr>
          <w:color w:val="auto"/>
          <w:highlight w:val="none"/>
        </w:rPr>
      </w:pPr>
      <w:r>
        <w:rPr>
          <w:color w:val="auto"/>
          <w:highlight w:val="none"/>
        </w:rPr>
        <w:t>须提供有效的营业执照或其他法定凭证、律师事务所执业许可证扫描件。</w:t>
      </w:r>
    </w:p>
    <w:p w14:paraId="4C332E4D">
      <w:pPr>
        <w:pStyle w:val="3"/>
        <w:spacing w:line="360" w:lineRule="auto"/>
        <w:jc w:val="center"/>
        <w:rPr>
          <w:rFonts w:ascii="Times New Roman" w:hAnsi="Times New Roman"/>
          <w:color w:val="auto"/>
          <w:sz w:val="30"/>
          <w:szCs w:val="30"/>
          <w:highlight w:val="none"/>
        </w:rPr>
      </w:pPr>
      <w:bookmarkStart w:id="143" w:name="_Toc243176598"/>
      <w:r>
        <w:rPr>
          <w:rFonts w:ascii="Times New Roman" w:hAnsi="Times New Roman"/>
          <w:color w:val="auto"/>
          <w:sz w:val="30"/>
          <w:szCs w:val="30"/>
          <w:highlight w:val="none"/>
        </w:rPr>
        <w:t>（三）财务状况</w:t>
      </w:r>
      <w:bookmarkEnd w:id="143"/>
    </w:p>
    <w:p w14:paraId="628413E4">
      <w:pPr>
        <w:rPr>
          <w:color w:val="auto"/>
          <w:highlight w:val="none"/>
        </w:rPr>
      </w:pPr>
      <w:r>
        <w:rPr>
          <w:color w:val="auto"/>
          <w:highlight w:val="none"/>
        </w:rPr>
        <w:t>按第三章 评审办法“竞争性磋商评审办法前附表”资格评审标准要求提供。</w:t>
      </w:r>
    </w:p>
    <w:p w14:paraId="7FFBFC73">
      <w:pPr>
        <w:pStyle w:val="3"/>
        <w:spacing w:line="360" w:lineRule="auto"/>
        <w:jc w:val="center"/>
        <w:rPr>
          <w:rFonts w:ascii="Times New Roman" w:hAnsi="Times New Roman"/>
          <w:color w:val="auto"/>
          <w:sz w:val="30"/>
          <w:szCs w:val="30"/>
          <w:highlight w:val="none"/>
        </w:rPr>
      </w:pPr>
      <w:bookmarkStart w:id="144" w:name="_Toc243176599"/>
      <w:r>
        <w:rPr>
          <w:rFonts w:ascii="Times New Roman" w:hAnsi="Times New Roman"/>
          <w:color w:val="auto"/>
          <w:sz w:val="30"/>
          <w:szCs w:val="30"/>
          <w:highlight w:val="none"/>
        </w:rPr>
        <w:t>（四）项目负责人</w:t>
      </w:r>
      <w:bookmarkEnd w:id="144"/>
    </w:p>
    <w:p w14:paraId="0110B3D4">
      <w:pPr>
        <w:rPr>
          <w:color w:val="auto"/>
          <w:highlight w:val="none"/>
        </w:rPr>
      </w:pPr>
      <w:r>
        <w:rPr>
          <w:color w:val="auto"/>
          <w:highlight w:val="none"/>
        </w:rPr>
        <w:t>按第三章 评审办法“竞争性磋商评审办法前附表”资格评审标准要求提供。</w:t>
      </w:r>
    </w:p>
    <w:p w14:paraId="78CF7CCA">
      <w:pPr>
        <w:pStyle w:val="3"/>
        <w:spacing w:line="360" w:lineRule="auto"/>
        <w:jc w:val="center"/>
        <w:rPr>
          <w:rFonts w:ascii="Times New Roman" w:hAnsi="Times New Roman"/>
          <w:color w:val="auto"/>
          <w:sz w:val="30"/>
          <w:szCs w:val="30"/>
          <w:highlight w:val="none"/>
        </w:rPr>
      </w:pPr>
      <w:bookmarkStart w:id="145" w:name="_Toc243176600"/>
      <w:r>
        <w:rPr>
          <w:rFonts w:ascii="Times New Roman" w:hAnsi="Times New Roman"/>
          <w:color w:val="auto"/>
          <w:sz w:val="30"/>
          <w:szCs w:val="30"/>
          <w:highlight w:val="none"/>
        </w:rPr>
        <w:t>（五）有依法缴纳税收和社会保障资金的良好记录</w:t>
      </w:r>
      <w:bookmarkEnd w:id="145"/>
    </w:p>
    <w:p w14:paraId="4AF35B1A">
      <w:pPr>
        <w:rPr>
          <w:color w:val="auto"/>
          <w:highlight w:val="none"/>
        </w:rPr>
      </w:pPr>
      <w:r>
        <w:rPr>
          <w:color w:val="auto"/>
          <w:highlight w:val="none"/>
        </w:rPr>
        <w:t>按第三章 评审办法“竞争性磋商评审办法前附表”资格评审标准要求提供。</w:t>
      </w:r>
    </w:p>
    <w:p w14:paraId="74FAD447">
      <w:pPr>
        <w:pStyle w:val="3"/>
        <w:spacing w:line="360" w:lineRule="auto"/>
        <w:jc w:val="center"/>
        <w:rPr>
          <w:rFonts w:ascii="Times New Roman" w:hAnsi="Times New Roman"/>
          <w:color w:val="auto"/>
          <w:sz w:val="30"/>
          <w:szCs w:val="30"/>
          <w:highlight w:val="none"/>
        </w:rPr>
      </w:pPr>
      <w:bookmarkStart w:id="146" w:name="_Toc243176601"/>
      <w:r>
        <w:rPr>
          <w:rFonts w:ascii="Times New Roman" w:hAnsi="Times New Roman"/>
          <w:color w:val="auto"/>
          <w:sz w:val="30"/>
          <w:szCs w:val="30"/>
          <w:highlight w:val="none"/>
        </w:rPr>
        <w:t>（六）信誉要求</w:t>
      </w:r>
      <w:bookmarkEnd w:id="146"/>
    </w:p>
    <w:p w14:paraId="55AE8DD8">
      <w:pPr>
        <w:rPr>
          <w:color w:val="auto"/>
          <w:highlight w:val="none"/>
        </w:rPr>
      </w:pPr>
      <w:r>
        <w:rPr>
          <w:color w:val="auto"/>
          <w:highlight w:val="none"/>
        </w:rPr>
        <w:t>按第三章 评审办法“竞争性磋商评审办法前附表”资格评审标准要求提供。</w:t>
      </w:r>
    </w:p>
    <w:p w14:paraId="24848098">
      <w:pPr>
        <w:pStyle w:val="3"/>
        <w:spacing w:line="360" w:lineRule="auto"/>
        <w:jc w:val="center"/>
        <w:rPr>
          <w:rFonts w:ascii="Times New Roman" w:hAnsi="Times New Roman"/>
          <w:color w:val="auto"/>
          <w:sz w:val="30"/>
          <w:szCs w:val="30"/>
          <w:highlight w:val="none"/>
        </w:rPr>
      </w:pPr>
      <w:bookmarkStart w:id="147" w:name="_Toc243176602"/>
      <w:r>
        <w:rPr>
          <w:rFonts w:ascii="Times New Roman" w:hAnsi="Times New Roman"/>
          <w:color w:val="auto"/>
          <w:sz w:val="30"/>
          <w:szCs w:val="30"/>
          <w:highlight w:val="none"/>
        </w:rPr>
        <w:t>（七）法定代表人身份证明书</w:t>
      </w:r>
      <w:bookmarkEnd w:id="147"/>
    </w:p>
    <w:p w14:paraId="0A461AFE">
      <w:pPr>
        <w:rPr>
          <w:color w:val="auto"/>
          <w:sz w:val="21"/>
          <w:szCs w:val="21"/>
          <w:highlight w:val="none"/>
        </w:rPr>
      </w:pPr>
      <w:r>
        <w:rPr>
          <w:rFonts w:hint="eastAsia"/>
          <w:color w:val="auto"/>
          <w:sz w:val="21"/>
          <w:szCs w:val="21"/>
          <w:highlight w:val="none"/>
        </w:rPr>
        <w:t>单位名称：</w:t>
      </w:r>
      <w:r>
        <w:rPr>
          <w:rFonts w:hint="eastAsia"/>
          <w:color w:val="auto"/>
          <w:sz w:val="21"/>
          <w:szCs w:val="21"/>
          <w:highlight w:val="none"/>
          <w:u w:val="single"/>
        </w:rPr>
        <w:t xml:space="preserve">                                                       </w:t>
      </w:r>
    </w:p>
    <w:p w14:paraId="3E863899">
      <w:pPr>
        <w:rPr>
          <w:color w:val="auto"/>
          <w:sz w:val="21"/>
          <w:szCs w:val="21"/>
          <w:highlight w:val="none"/>
          <w:u w:val="single"/>
        </w:rPr>
      </w:pPr>
      <w:r>
        <w:rPr>
          <w:rFonts w:hint="eastAsia"/>
          <w:color w:val="auto"/>
          <w:sz w:val="21"/>
          <w:szCs w:val="21"/>
          <w:highlight w:val="none"/>
        </w:rPr>
        <w:t>单位性质：</w:t>
      </w:r>
      <w:r>
        <w:rPr>
          <w:rFonts w:hint="eastAsia"/>
          <w:color w:val="auto"/>
          <w:sz w:val="21"/>
          <w:szCs w:val="21"/>
          <w:highlight w:val="none"/>
          <w:u w:val="single"/>
        </w:rPr>
        <w:t xml:space="preserve">                                                       </w:t>
      </w:r>
    </w:p>
    <w:p w14:paraId="3E361382">
      <w:pPr>
        <w:rPr>
          <w:color w:val="auto"/>
          <w:sz w:val="21"/>
          <w:szCs w:val="21"/>
          <w:highlight w:val="none"/>
        </w:rPr>
      </w:pPr>
      <w:r>
        <w:rPr>
          <w:rFonts w:hint="eastAsia"/>
          <w:color w:val="auto"/>
          <w:sz w:val="21"/>
          <w:szCs w:val="21"/>
          <w:highlight w:val="none"/>
        </w:rPr>
        <w:t>地    址：</w:t>
      </w:r>
      <w:r>
        <w:rPr>
          <w:rFonts w:hint="eastAsia"/>
          <w:color w:val="auto"/>
          <w:sz w:val="21"/>
          <w:szCs w:val="21"/>
          <w:highlight w:val="none"/>
          <w:u w:val="single"/>
        </w:rPr>
        <w:t xml:space="preserve">                                                       </w:t>
      </w:r>
    </w:p>
    <w:p w14:paraId="3B973878">
      <w:pPr>
        <w:rPr>
          <w:color w:val="auto"/>
          <w:sz w:val="21"/>
          <w:szCs w:val="21"/>
          <w:highlight w:val="none"/>
        </w:rPr>
      </w:pPr>
      <w:r>
        <w:rPr>
          <w:rFonts w:hint="eastAsia"/>
          <w:color w:val="auto"/>
          <w:sz w:val="21"/>
          <w:szCs w:val="21"/>
          <w:highlight w:val="none"/>
        </w:rPr>
        <w:t>成立时间：</w:t>
      </w:r>
      <w:r>
        <w:rPr>
          <w:rFonts w:hint="eastAsia"/>
          <w:color w:val="auto"/>
          <w:sz w:val="21"/>
          <w:szCs w:val="21"/>
          <w:highlight w:val="none"/>
          <w:u w:val="single"/>
        </w:rPr>
        <w:t xml:space="preserve">          </w:t>
      </w:r>
      <w:r>
        <w:rPr>
          <w:rFonts w:hint="eastAsia"/>
          <w:color w:val="auto"/>
          <w:sz w:val="21"/>
          <w:szCs w:val="21"/>
          <w:highlight w:val="none"/>
        </w:rPr>
        <w:t>年</w:t>
      </w:r>
      <w:r>
        <w:rPr>
          <w:rFonts w:hint="eastAsia"/>
          <w:color w:val="auto"/>
          <w:sz w:val="21"/>
          <w:szCs w:val="21"/>
          <w:highlight w:val="none"/>
          <w:u w:val="single"/>
        </w:rPr>
        <w:t xml:space="preserve">          </w:t>
      </w:r>
      <w:r>
        <w:rPr>
          <w:rFonts w:hint="eastAsia"/>
          <w:color w:val="auto"/>
          <w:sz w:val="21"/>
          <w:szCs w:val="21"/>
          <w:highlight w:val="none"/>
        </w:rPr>
        <w:t>月</w:t>
      </w:r>
      <w:r>
        <w:rPr>
          <w:rFonts w:hint="eastAsia"/>
          <w:color w:val="auto"/>
          <w:sz w:val="21"/>
          <w:szCs w:val="21"/>
          <w:highlight w:val="none"/>
          <w:u w:val="single"/>
        </w:rPr>
        <w:t xml:space="preserve">          </w:t>
      </w:r>
      <w:r>
        <w:rPr>
          <w:rFonts w:hint="eastAsia"/>
          <w:color w:val="auto"/>
          <w:sz w:val="21"/>
          <w:szCs w:val="21"/>
          <w:highlight w:val="none"/>
        </w:rPr>
        <w:t>日</w:t>
      </w:r>
    </w:p>
    <w:p w14:paraId="335E300E">
      <w:pPr>
        <w:rPr>
          <w:color w:val="auto"/>
          <w:sz w:val="21"/>
          <w:szCs w:val="21"/>
          <w:highlight w:val="none"/>
        </w:rPr>
      </w:pPr>
      <w:r>
        <w:rPr>
          <w:rFonts w:hint="eastAsia"/>
          <w:color w:val="auto"/>
          <w:sz w:val="21"/>
          <w:szCs w:val="21"/>
          <w:highlight w:val="none"/>
        </w:rPr>
        <w:t>经营期限：</w:t>
      </w:r>
      <w:r>
        <w:rPr>
          <w:rFonts w:hint="eastAsia"/>
          <w:color w:val="auto"/>
          <w:sz w:val="21"/>
          <w:szCs w:val="21"/>
          <w:highlight w:val="none"/>
          <w:u w:val="single"/>
        </w:rPr>
        <w:t xml:space="preserve">                                                       </w:t>
      </w:r>
    </w:p>
    <w:p w14:paraId="3F666878">
      <w:pPr>
        <w:rPr>
          <w:color w:val="auto"/>
          <w:sz w:val="21"/>
          <w:szCs w:val="21"/>
          <w:highlight w:val="none"/>
        </w:rPr>
      </w:pPr>
      <w:r>
        <w:rPr>
          <w:rFonts w:hint="eastAsia"/>
          <w:color w:val="auto"/>
          <w:sz w:val="21"/>
          <w:szCs w:val="21"/>
          <w:highlight w:val="none"/>
        </w:rPr>
        <w:t>姓    名：</w:t>
      </w:r>
      <w:r>
        <w:rPr>
          <w:rFonts w:hint="eastAsia"/>
          <w:color w:val="auto"/>
          <w:sz w:val="21"/>
          <w:szCs w:val="21"/>
          <w:highlight w:val="none"/>
          <w:u w:val="single"/>
        </w:rPr>
        <w:t xml:space="preserve">             </w:t>
      </w:r>
      <w:r>
        <w:rPr>
          <w:rFonts w:hint="eastAsia"/>
          <w:color w:val="auto"/>
          <w:sz w:val="21"/>
          <w:szCs w:val="21"/>
          <w:highlight w:val="none"/>
        </w:rPr>
        <w:t>性    别：</w:t>
      </w:r>
      <w:r>
        <w:rPr>
          <w:rFonts w:hint="eastAsia"/>
          <w:color w:val="auto"/>
          <w:sz w:val="21"/>
          <w:szCs w:val="21"/>
          <w:highlight w:val="none"/>
          <w:u w:val="single"/>
        </w:rPr>
        <w:t xml:space="preserve">               </w:t>
      </w:r>
    </w:p>
    <w:p w14:paraId="56C2A633">
      <w:pPr>
        <w:rPr>
          <w:color w:val="auto"/>
          <w:sz w:val="21"/>
          <w:szCs w:val="21"/>
          <w:highlight w:val="none"/>
        </w:rPr>
      </w:pPr>
      <w:r>
        <w:rPr>
          <w:rFonts w:hint="eastAsia"/>
          <w:color w:val="auto"/>
          <w:sz w:val="21"/>
          <w:szCs w:val="21"/>
          <w:highlight w:val="none"/>
        </w:rPr>
        <w:t>年    龄：</w:t>
      </w:r>
      <w:r>
        <w:rPr>
          <w:rFonts w:hint="eastAsia"/>
          <w:color w:val="auto"/>
          <w:sz w:val="21"/>
          <w:szCs w:val="21"/>
          <w:highlight w:val="none"/>
          <w:u w:val="single"/>
        </w:rPr>
        <w:t xml:space="preserve">             </w:t>
      </w:r>
      <w:r>
        <w:rPr>
          <w:rFonts w:hint="eastAsia"/>
          <w:color w:val="auto"/>
          <w:sz w:val="21"/>
          <w:szCs w:val="21"/>
          <w:highlight w:val="none"/>
        </w:rPr>
        <w:t>职    务：</w:t>
      </w:r>
      <w:r>
        <w:rPr>
          <w:rFonts w:hint="eastAsia"/>
          <w:color w:val="auto"/>
          <w:sz w:val="21"/>
          <w:szCs w:val="21"/>
          <w:highlight w:val="none"/>
          <w:u w:val="single"/>
        </w:rPr>
        <w:t xml:space="preserve">               </w:t>
      </w:r>
    </w:p>
    <w:p w14:paraId="046ECDDE">
      <w:pPr>
        <w:rPr>
          <w:color w:val="auto"/>
          <w:sz w:val="21"/>
          <w:szCs w:val="21"/>
          <w:highlight w:val="none"/>
        </w:rPr>
      </w:pPr>
      <w:r>
        <w:rPr>
          <w:rFonts w:hint="eastAsia"/>
          <w:color w:val="auto"/>
          <w:sz w:val="21"/>
          <w:szCs w:val="21"/>
          <w:highlight w:val="none"/>
        </w:rPr>
        <w:t>系             （供应商名称）                的法定代表人。</w:t>
      </w:r>
    </w:p>
    <w:p w14:paraId="29DC813C">
      <w:pPr>
        <w:rPr>
          <w:color w:val="auto"/>
          <w:sz w:val="21"/>
          <w:szCs w:val="21"/>
          <w:highlight w:val="none"/>
        </w:rPr>
      </w:pPr>
      <w:r>
        <w:rPr>
          <w:rFonts w:hint="eastAsia"/>
          <w:color w:val="auto"/>
          <w:sz w:val="21"/>
          <w:szCs w:val="21"/>
          <w:highlight w:val="none"/>
        </w:rPr>
        <w:t>特此证明。</w:t>
      </w:r>
    </w:p>
    <w:p w14:paraId="0B56AE7F">
      <w:pPr>
        <w:wordWrap w:val="0"/>
        <w:spacing w:line="360" w:lineRule="auto"/>
        <w:jc w:val="right"/>
        <w:rPr>
          <w:color w:val="auto"/>
          <w:sz w:val="21"/>
          <w:szCs w:val="21"/>
          <w:highlight w:val="none"/>
        </w:rPr>
      </w:pPr>
      <w:r>
        <w:rPr>
          <w:rFonts w:hint="eastAsia"/>
          <w:color w:val="auto"/>
          <w:sz w:val="21"/>
          <w:szCs w:val="21"/>
          <w:highlight w:val="none"/>
        </w:rPr>
        <w:t xml:space="preserve">供应商（电子签章）：                      </w:t>
      </w:r>
    </w:p>
    <w:p w14:paraId="1770ED7F">
      <w:pPr>
        <w:spacing w:line="360" w:lineRule="auto"/>
        <w:jc w:val="right"/>
        <w:rPr>
          <w:color w:val="auto"/>
          <w:sz w:val="21"/>
          <w:szCs w:val="21"/>
          <w:highlight w:val="none"/>
        </w:rPr>
      </w:pPr>
      <w:r>
        <w:rPr>
          <w:rFonts w:hint="eastAsia"/>
          <w:color w:val="auto"/>
          <w:sz w:val="21"/>
          <w:szCs w:val="21"/>
          <w:highlight w:val="none"/>
          <w:u w:val="single"/>
        </w:rPr>
        <w:t xml:space="preserve">        </w:t>
      </w:r>
      <w:r>
        <w:rPr>
          <w:rFonts w:hint="eastAsia"/>
          <w:color w:val="auto"/>
          <w:sz w:val="21"/>
          <w:szCs w:val="21"/>
          <w:highlight w:val="none"/>
        </w:rPr>
        <w:t>年</w:t>
      </w:r>
      <w:r>
        <w:rPr>
          <w:rFonts w:hint="eastAsia"/>
          <w:color w:val="auto"/>
          <w:sz w:val="21"/>
          <w:szCs w:val="21"/>
          <w:highlight w:val="none"/>
          <w:u w:val="single"/>
        </w:rPr>
        <w:t xml:space="preserve">        </w:t>
      </w:r>
      <w:r>
        <w:rPr>
          <w:rFonts w:hint="eastAsia"/>
          <w:color w:val="auto"/>
          <w:sz w:val="21"/>
          <w:szCs w:val="21"/>
          <w:highlight w:val="none"/>
        </w:rPr>
        <w:t>月</w:t>
      </w:r>
      <w:r>
        <w:rPr>
          <w:rFonts w:hint="eastAsia"/>
          <w:color w:val="auto"/>
          <w:sz w:val="21"/>
          <w:szCs w:val="21"/>
          <w:highlight w:val="none"/>
          <w:u w:val="single"/>
        </w:rPr>
        <w:t xml:space="preserve">        </w:t>
      </w:r>
      <w:r>
        <w:rPr>
          <w:rFonts w:hint="eastAsia"/>
          <w:color w:val="auto"/>
          <w:sz w:val="21"/>
          <w:szCs w:val="21"/>
          <w:highlight w:val="none"/>
        </w:rPr>
        <w:t xml:space="preserve">日      </w:t>
      </w:r>
    </w:p>
    <w:p w14:paraId="6253CCD1">
      <w:pPr>
        <w:spacing w:line="360" w:lineRule="auto"/>
        <w:jc w:val="right"/>
        <w:rPr>
          <w:color w:val="auto"/>
          <w:sz w:val="21"/>
          <w:szCs w:val="21"/>
          <w:highlight w:val="none"/>
        </w:rPr>
      </w:pPr>
    </w:p>
    <w:p w14:paraId="43E56A28">
      <w:pPr>
        <w:spacing w:line="360" w:lineRule="auto"/>
        <w:jc w:val="right"/>
        <w:rPr>
          <w:color w:val="auto"/>
          <w:sz w:val="21"/>
          <w:szCs w:val="21"/>
          <w:highlight w:val="none"/>
        </w:rPr>
      </w:pPr>
    </w:p>
    <w:p w14:paraId="53266083">
      <w:pPr>
        <w:spacing w:line="360" w:lineRule="auto"/>
        <w:rPr>
          <w:b/>
          <w:color w:val="auto"/>
          <w:sz w:val="21"/>
          <w:szCs w:val="21"/>
          <w:highlight w:val="none"/>
        </w:rPr>
      </w:pPr>
      <w:r>
        <w:rPr>
          <w:rFonts w:hint="eastAsia"/>
          <w:b/>
          <w:color w:val="auto"/>
          <w:sz w:val="21"/>
          <w:szCs w:val="21"/>
          <w:highlight w:val="none"/>
        </w:rPr>
        <w:t>注：附法定代表人身份证扫描件。</w:t>
      </w:r>
    </w:p>
    <w:p w14:paraId="02517595">
      <w:pPr>
        <w:pStyle w:val="3"/>
        <w:spacing w:line="360" w:lineRule="auto"/>
        <w:jc w:val="center"/>
        <w:rPr>
          <w:rFonts w:ascii="Times New Roman" w:hAnsi="Times New Roman"/>
          <w:color w:val="auto"/>
          <w:sz w:val="30"/>
          <w:szCs w:val="30"/>
          <w:highlight w:val="none"/>
        </w:rPr>
      </w:pPr>
      <w:r>
        <w:rPr>
          <w:rFonts w:ascii="Times New Roman" w:hAnsi="Times New Roman"/>
          <w:color w:val="auto"/>
          <w:sz w:val="30"/>
          <w:szCs w:val="30"/>
          <w:highlight w:val="none"/>
        </w:rPr>
        <w:br w:type="page"/>
      </w:r>
      <w:bookmarkStart w:id="148" w:name="_Toc243176603"/>
      <w:r>
        <w:rPr>
          <w:rFonts w:ascii="Times New Roman" w:hAnsi="Times New Roman"/>
          <w:color w:val="auto"/>
          <w:sz w:val="30"/>
          <w:szCs w:val="30"/>
          <w:highlight w:val="none"/>
        </w:rPr>
        <w:t>（八）授权委托书</w:t>
      </w:r>
      <w:bookmarkEnd w:id="148"/>
    </w:p>
    <w:p w14:paraId="0A188F80">
      <w:pPr>
        <w:spacing w:line="360" w:lineRule="auto"/>
        <w:ind w:firstLine="420" w:firstLineChars="200"/>
        <w:rPr>
          <w:color w:val="auto"/>
          <w:sz w:val="21"/>
          <w:szCs w:val="21"/>
          <w:highlight w:val="none"/>
        </w:rPr>
      </w:pPr>
      <w:r>
        <w:rPr>
          <w:rFonts w:hint="eastAsia"/>
          <w:color w:val="auto"/>
          <w:sz w:val="21"/>
          <w:szCs w:val="21"/>
          <w:highlight w:val="none"/>
        </w:rPr>
        <w:t>本人        （姓名）系        （供应商名称）的法定代表人，现委托       （姓名）为我方代理人。代理人根据授权，以我方名义签署、澄清、说明、补正、递交、撤回、修改           （项目名称）     竞争性磋商响应文件，其法律后果由我方承担。</w:t>
      </w:r>
    </w:p>
    <w:p w14:paraId="6B45E815">
      <w:pPr>
        <w:spacing w:line="360" w:lineRule="auto"/>
        <w:ind w:firstLine="420" w:firstLineChars="200"/>
        <w:rPr>
          <w:color w:val="auto"/>
          <w:sz w:val="21"/>
          <w:szCs w:val="21"/>
          <w:highlight w:val="none"/>
          <w:u w:val="single"/>
        </w:rPr>
      </w:pPr>
      <w:r>
        <w:rPr>
          <w:rFonts w:hint="eastAsia"/>
          <w:color w:val="auto"/>
          <w:sz w:val="21"/>
          <w:szCs w:val="21"/>
          <w:highlight w:val="none"/>
        </w:rPr>
        <w:t>委托期限：</w:t>
      </w:r>
      <w:r>
        <w:rPr>
          <w:rFonts w:hint="eastAsia"/>
          <w:color w:val="auto"/>
          <w:sz w:val="21"/>
          <w:szCs w:val="21"/>
          <w:highlight w:val="none"/>
          <w:u w:val="single"/>
        </w:rPr>
        <w:t xml:space="preserve">                                                      </w:t>
      </w:r>
    </w:p>
    <w:p w14:paraId="73E56281">
      <w:pPr>
        <w:spacing w:line="360" w:lineRule="auto"/>
        <w:ind w:firstLine="420" w:firstLineChars="200"/>
        <w:rPr>
          <w:color w:val="auto"/>
          <w:sz w:val="21"/>
          <w:szCs w:val="21"/>
          <w:highlight w:val="none"/>
        </w:rPr>
      </w:pPr>
    </w:p>
    <w:p w14:paraId="4200EDB8">
      <w:pPr>
        <w:spacing w:line="360" w:lineRule="auto"/>
        <w:ind w:firstLine="420" w:firstLineChars="200"/>
        <w:jc w:val="both"/>
        <w:rPr>
          <w:color w:val="auto"/>
          <w:sz w:val="21"/>
          <w:szCs w:val="21"/>
          <w:highlight w:val="none"/>
        </w:rPr>
      </w:pPr>
      <w:r>
        <w:rPr>
          <w:rFonts w:hint="eastAsia"/>
          <w:color w:val="auto"/>
          <w:sz w:val="21"/>
          <w:szCs w:val="21"/>
          <w:highlight w:val="none"/>
        </w:rPr>
        <w:t>代理人无转委托权。</w:t>
      </w:r>
    </w:p>
    <w:p w14:paraId="38AC7340">
      <w:pPr>
        <w:spacing w:line="360" w:lineRule="auto"/>
        <w:ind w:firstLine="420" w:firstLineChars="200"/>
        <w:jc w:val="both"/>
        <w:rPr>
          <w:color w:val="auto"/>
          <w:sz w:val="21"/>
          <w:szCs w:val="21"/>
          <w:highlight w:val="none"/>
        </w:rPr>
      </w:pPr>
    </w:p>
    <w:p w14:paraId="4ACE3C0F">
      <w:pPr>
        <w:spacing w:line="360" w:lineRule="auto"/>
        <w:ind w:firstLine="422" w:firstLineChars="200"/>
        <w:rPr>
          <w:b/>
          <w:color w:val="auto"/>
          <w:sz w:val="21"/>
          <w:szCs w:val="21"/>
          <w:highlight w:val="none"/>
        </w:rPr>
      </w:pPr>
      <w:r>
        <w:rPr>
          <w:rFonts w:hint="eastAsia"/>
          <w:b/>
          <w:color w:val="auto"/>
          <w:sz w:val="21"/>
          <w:szCs w:val="21"/>
          <w:highlight w:val="none"/>
        </w:rPr>
        <w:t>附：授权委托人身份证扫描件。</w:t>
      </w:r>
    </w:p>
    <w:p w14:paraId="64E2F52C">
      <w:pPr>
        <w:spacing w:line="360" w:lineRule="auto"/>
        <w:ind w:firstLine="420" w:firstLineChars="200"/>
        <w:rPr>
          <w:color w:val="auto"/>
          <w:sz w:val="21"/>
          <w:szCs w:val="21"/>
          <w:highlight w:val="none"/>
        </w:rPr>
      </w:pPr>
    </w:p>
    <w:p w14:paraId="71E47E23">
      <w:pPr>
        <w:spacing w:line="360" w:lineRule="auto"/>
        <w:ind w:firstLine="420" w:firstLineChars="200"/>
        <w:rPr>
          <w:color w:val="auto"/>
          <w:sz w:val="21"/>
          <w:szCs w:val="21"/>
          <w:highlight w:val="none"/>
        </w:rPr>
      </w:pPr>
    </w:p>
    <w:p w14:paraId="65C7E6CB">
      <w:pPr>
        <w:spacing w:line="360" w:lineRule="auto"/>
        <w:ind w:firstLine="420" w:firstLineChars="200"/>
        <w:rPr>
          <w:color w:val="auto"/>
          <w:sz w:val="21"/>
          <w:szCs w:val="21"/>
          <w:highlight w:val="none"/>
        </w:rPr>
      </w:pPr>
    </w:p>
    <w:p w14:paraId="40EDF11B">
      <w:pPr>
        <w:spacing w:line="360" w:lineRule="auto"/>
        <w:ind w:firstLine="420" w:firstLineChars="200"/>
        <w:rPr>
          <w:color w:val="auto"/>
          <w:sz w:val="21"/>
          <w:szCs w:val="21"/>
          <w:highlight w:val="none"/>
        </w:rPr>
      </w:pPr>
    </w:p>
    <w:p w14:paraId="03478037">
      <w:pPr>
        <w:spacing w:line="360" w:lineRule="auto"/>
        <w:ind w:firstLine="420" w:firstLineChars="200"/>
        <w:rPr>
          <w:color w:val="auto"/>
          <w:sz w:val="21"/>
          <w:szCs w:val="21"/>
          <w:highlight w:val="none"/>
        </w:rPr>
      </w:pPr>
    </w:p>
    <w:p w14:paraId="690E6491">
      <w:pPr>
        <w:spacing w:line="360" w:lineRule="auto"/>
        <w:ind w:firstLine="420" w:firstLineChars="200"/>
        <w:rPr>
          <w:color w:val="auto"/>
          <w:sz w:val="21"/>
          <w:szCs w:val="21"/>
          <w:highlight w:val="none"/>
        </w:rPr>
      </w:pPr>
      <w:r>
        <w:rPr>
          <w:rFonts w:hint="eastAsia"/>
          <w:color w:val="auto"/>
          <w:sz w:val="21"/>
          <w:szCs w:val="21"/>
          <w:highlight w:val="none"/>
        </w:rPr>
        <w:t xml:space="preserve">供应商（电子签章）：                          </w:t>
      </w:r>
    </w:p>
    <w:p w14:paraId="6834FD6C">
      <w:pPr>
        <w:spacing w:line="360" w:lineRule="auto"/>
        <w:ind w:firstLine="420" w:firstLineChars="200"/>
        <w:rPr>
          <w:color w:val="auto"/>
          <w:sz w:val="21"/>
          <w:szCs w:val="21"/>
          <w:highlight w:val="none"/>
        </w:rPr>
      </w:pPr>
      <w:r>
        <w:rPr>
          <w:rFonts w:hint="eastAsia"/>
          <w:color w:val="auto"/>
          <w:sz w:val="21"/>
          <w:szCs w:val="21"/>
          <w:highlight w:val="none"/>
        </w:rPr>
        <w:t>法定代表人（签字或电子签章）：</w:t>
      </w:r>
      <w:r>
        <w:rPr>
          <w:rFonts w:hint="eastAsia"/>
          <w:color w:val="auto"/>
          <w:sz w:val="21"/>
          <w:szCs w:val="21"/>
          <w:highlight w:val="none"/>
          <w:u w:val="single"/>
        </w:rPr>
        <w:t xml:space="preserve">                          </w:t>
      </w:r>
    </w:p>
    <w:p w14:paraId="53EAF48C">
      <w:pPr>
        <w:wordWrap w:val="0"/>
        <w:spacing w:line="360" w:lineRule="auto"/>
        <w:ind w:right="44" w:firstLine="420" w:firstLineChars="200"/>
        <w:rPr>
          <w:color w:val="auto"/>
          <w:sz w:val="21"/>
          <w:szCs w:val="21"/>
          <w:highlight w:val="none"/>
        </w:rPr>
      </w:pPr>
      <w:r>
        <w:rPr>
          <w:rFonts w:hint="eastAsia"/>
          <w:color w:val="auto"/>
          <w:sz w:val="21"/>
          <w:szCs w:val="21"/>
          <w:highlight w:val="none"/>
        </w:rPr>
        <w:t>身份证号码：</w:t>
      </w:r>
      <w:r>
        <w:rPr>
          <w:rFonts w:hint="eastAsia"/>
          <w:color w:val="auto"/>
          <w:sz w:val="21"/>
          <w:szCs w:val="21"/>
          <w:highlight w:val="none"/>
          <w:u w:val="single"/>
        </w:rPr>
        <w:t xml:space="preserve">                                      </w:t>
      </w:r>
    </w:p>
    <w:p w14:paraId="77B4704E">
      <w:pPr>
        <w:spacing w:line="360" w:lineRule="auto"/>
        <w:ind w:firstLine="420" w:firstLineChars="200"/>
        <w:rPr>
          <w:color w:val="auto"/>
          <w:sz w:val="21"/>
          <w:szCs w:val="21"/>
          <w:highlight w:val="none"/>
        </w:rPr>
      </w:pPr>
      <w:r>
        <w:rPr>
          <w:rFonts w:hint="eastAsia"/>
          <w:color w:val="auto"/>
          <w:sz w:val="21"/>
          <w:szCs w:val="21"/>
          <w:highlight w:val="none"/>
        </w:rPr>
        <w:t>委托代理人（签字或电子签章）：</w:t>
      </w:r>
      <w:r>
        <w:rPr>
          <w:rFonts w:hint="eastAsia"/>
          <w:color w:val="auto"/>
          <w:sz w:val="21"/>
          <w:szCs w:val="21"/>
          <w:highlight w:val="none"/>
          <w:u w:val="single"/>
        </w:rPr>
        <w:t xml:space="preserve">                        </w:t>
      </w:r>
    </w:p>
    <w:p w14:paraId="60454B2F">
      <w:pPr>
        <w:tabs>
          <w:tab w:val="left" w:pos="8460"/>
        </w:tabs>
        <w:wordWrap w:val="0"/>
        <w:spacing w:line="360" w:lineRule="auto"/>
        <w:ind w:right="44" w:firstLine="420" w:firstLineChars="200"/>
        <w:rPr>
          <w:color w:val="auto"/>
          <w:sz w:val="21"/>
          <w:szCs w:val="21"/>
          <w:highlight w:val="none"/>
          <w:u w:val="single"/>
        </w:rPr>
      </w:pPr>
      <w:r>
        <w:rPr>
          <w:rFonts w:hint="eastAsia"/>
          <w:color w:val="auto"/>
          <w:sz w:val="21"/>
          <w:szCs w:val="21"/>
          <w:highlight w:val="none"/>
        </w:rPr>
        <w:t>身份证号码：</w:t>
      </w:r>
      <w:r>
        <w:rPr>
          <w:rFonts w:hint="eastAsia"/>
          <w:color w:val="auto"/>
          <w:sz w:val="21"/>
          <w:szCs w:val="21"/>
          <w:highlight w:val="none"/>
          <w:u w:val="single"/>
        </w:rPr>
        <w:t xml:space="preserve">                                      </w:t>
      </w:r>
    </w:p>
    <w:p w14:paraId="5D6224D0">
      <w:pPr>
        <w:spacing w:line="360" w:lineRule="auto"/>
        <w:ind w:right="420" w:firstLine="420" w:firstLineChars="200"/>
        <w:rPr>
          <w:color w:val="auto"/>
          <w:sz w:val="21"/>
          <w:szCs w:val="21"/>
          <w:highlight w:val="none"/>
        </w:rPr>
      </w:pPr>
      <w:r>
        <w:rPr>
          <w:rFonts w:hint="eastAsia"/>
          <w:color w:val="auto"/>
          <w:sz w:val="21"/>
          <w:szCs w:val="21"/>
          <w:highlight w:val="none"/>
          <w:u w:val="single"/>
        </w:rPr>
        <w:t xml:space="preserve">         </w:t>
      </w:r>
      <w:r>
        <w:rPr>
          <w:rFonts w:hint="eastAsia"/>
          <w:color w:val="auto"/>
          <w:sz w:val="21"/>
          <w:szCs w:val="21"/>
          <w:highlight w:val="none"/>
        </w:rPr>
        <w:t>年</w:t>
      </w:r>
      <w:r>
        <w:rPr>
          <w:rFonts w:hint="eastAsia"/>
          <w:color w:val="auto"/>
          <w:sz w:val="21"/>
          <w:szCs w:val="21"/>
          <w:highlight w:val="none"/>
          <w:u w:val="single"/>
        </w:rPr>
        <w:t xml:space="preserve">      </w:t>
      </w:r>
      <w:r>
        <w:rPr>
          <w:rFonts w:hint="eastAsia"/>
          <w:color w:val="auto"/>
          <w:sz w:val="21"/>
          <w:szCs w:val="21"/>
          <w:highlight w:val="none"/>
        </w:rPr>
        <w:t>月</w:t>
      </w:r>
      <w:r>
        <w:rPr>
          <w:rFonts w:hint="eastAsia"/>
          <w:color w:val="auto"/>
          <w:sz w:val="21"/>
          <w:szCs w:val="21"/>
          <w:highlight w:val="none"/>
          <w:u w:val="single"/>
        </w:rPr>
        <w:t xml:space="preserve">       </w:t>
      </w:r>
      <w:r>
        <w:rPr>
          <w:rFonts w:hint="eastAsia"/>
          <w:color w:val="auto"/>
          <w:sz w:val="21"/>
          <w:szCs w:val="21"/>
          <w:highlight w:val="none"/>
        </w:rPr>
        <w:t>日</w:t>
      </w:r>
    </w:p>
    <w:p w14:paraId="192B1821">
      <w:pPr>
        <w:pStyle w:val="3"/>
        <w:spacing w:line="360" w:lineRule="auto"/>
        <w:jc w:val="center"/>
        <w:rPr>
          <w:rFonts w:ascii="Times New Roman" w:hAnsi="Times New Roman"/>
          <w:color w:val="auto"/>
          <w:sz w:val="30"/>
          <w:szCs w:val="30"/>
          <w:highlight w:val="none"/>
        </w:rPr>
      </w:pPr>
      <w:r>
        <w:rPr>
          <w:rFonts w:ascii="Times New Roman" w:hAnsi="Times New Roman"/>
          <w:color w:val="auto"/>
          <w:sz w:val="30"/>
          <w:szCs w:val="30"/>
          <w:highlight w:val="none"/>
        </w:rPr>
        <w:br w:type="page"/>
      </w:r>
      <w:bookmarkStart w:id="149" w:name="_Toc243176604"/>
      <w:r>
        <w:rPr>
          <w:rFonts w:ascii="Times New Roman" w:hAnsi="Times New Roman"/>
          <w:color w:val="auto"/>
          <w:sz w:val="30"/>
          <w:szCs w:val="30"/>
          <w:highlight w:val="none"/>
        </w:rPr>
        <w:t>（九）廉政承诺书</w:t>
      </w:r>
      <w:bookmarkEnd w:id="149"/>
    </w:p>
    <w:p w14:paraId="2549784A">
      <w:pPr>
        <w:spacing w:line="520" w:lineRule="exact"/>
        <w:ind w:firstLine="420" w:firstLineChars="200"/>
        <w:rPr>
          <w:rFonts w:cs="宋体"/>
          <w:color w:val="auto"/>
          <w:sz w:val="21"/>
          <w:szCs w:val="21"/>
          <w:highlight w:val="none"/>
        </w:rPr>
      </w:pPr>
      <w:r>
        <w:rPr>
          <w:rFonts w:hint="eastAsia" w:cs="宋体"/>
          <w:color w:val="auto"/>
          <w:sz w:val="21"/>
          <w:szCs w:val="21"/>
          <w:highlight w:val="none"/>
        </w:rPr>
        <w:t>本企业参与</w:t>
      </w:r>
      <w:r>
        <w:rPr>
          <w:rFonts w:hint="eastAsia" w:cs="宋体"/>
          <w:color w:val="auto"/>
          <w:sz w:val="21"/>
          <w:szCs w:val="21"/>
          <w:highlight w:val="none"/>
          <w:u w:val="single"/>
        </w:rPr>
        <w:t xml:space="preserve">      （项目名称）       </w:t>
      </w:r>
      <w:r>
        <w:rPr>
          <w:rFonts w:hint="eastAsia" w:cs="宋体"/>
          <w:color w:val="auto"/>
          <w:sz w:val="21"/>
          <w:szCs w:val="21"/>
          <w:highlight w:val="none"/>
        </w:rPr>
        <w:t>的竞争性磋商，现作如下承诺：</w:t>
      </w:r>
    </w:p>
    <w:p w14:paraId="0E98819B">
      <w:pPr>
        <w:spacing w:line="520" w:lineRule="exact"/>
        <w:ind w:firstLine="420" w:firstLineChars="200"/>
        <w:rPr>
          <w:rFonts w:cs="宋体"/>
          <w:color w:val="auto"/>
          <w:sz w:val="21"/>
          <w:szCs w:val="21"/>
          <w:highlight w:val="none"/>
        </w:rPr>
      </w:pPr>
      <w:r>
        <w:rPr>
          <w:rFonts w:hint="eastAsia" w:cs="宋体"/>
          <w:color w:val="auto"/>
          <w:sz w:val="21"/>
          <w:szCs w:val="21"/>
          <w:highlight w:val="none"/>
        </w:rPr>
        <w:t>1、我公司参与此次竞争性磋商活动所提交的所有材料都是合法、真实、有效的。</w:t>
      </w:r>
    </w:p>
    <w:p w14:paraId="0BB0DF2B">
      <w:pPr>
        <w:spacing w:line="520" w:lineRule="exact"/>
        <w:ind w:firstLine="420" w:firstLineChars="200"/>
        <w:rPr>
          <w:rFonts w:cs="宋体"/>
          <w:color w:val="auto"/>
          <w:sz w:val="21"/>
          <w:szCs w:val="21"/>
          <w:highlight w:val="none"/>
        </w:rPr>
      </w:pPr>
      <w:r>
        <w:rPr>
          <w:rFonts w:hint="eastAsia" w:cs="宋体"/>
          <w:color w:val="auto"/>
          <w:sz w:val="21"/>
          <w:szCs w:val="21"/>
          <w:highlight w:val="none"/>
        </w:rPr>
        <w:t>2、不与其他供应商串通投标、围标，依法、依规公平竞争，不损害发包人或其他供应商的合法权益。</w:t>
      </w:r>
    </w:p>
    <w:p w14:paraId="1B6E2F84">
      <w:pPr>
        <w:spacing w:line="520" w:lineRule="exact"/>
        <w:ind w:firstLine="420" w:firstLineChars="200"/>
        <w:rPr>
          <w:rFonts w:cs="宋体"/>
          <w:color w:val="auto"/>
          <w:sz w:val="21"/>
          <w:szCs w:val="21"/>
          <w:highlight w:val="none"/>
        </w:rPr>
      </w:pPr>
      <w:r>
        <w:rPr>
          <w:rFonts w:hint="eastAsia" w:cs="宋体"/>
          <w:color w:val="auto"/>
          <w:sz w:val="21"/>
          <w:szCs w:val="21"/>
          <w:highlight w:val="none"/>
        </w:rPr>
        <w:t>3、不转让、出租、出借资质证书、人员岗位证书， 不以法律、法规禁止的方式投标。</w:t>
      </w:r>
    </w:p>
    <w:p w14:paraId="6D21ABF3">
      <w:pPr>
        <w:spacing w:line="520" w:lineRule="exact"/>
        <w:ind w:firstLine="420" w:firstLineChars="200"/>
        <w:rPr>
          <w:rFonts w:cs="宋体"/>
          <w:color w:val="auto"/>
          <w:sz w:val="21"/>
          <w:szCs w:val="21"/>
          <w:highlight w:val="none"/>
        </w:rPr>
      </w:pPr>
      <w:r>
        <w:rPr>
          <w:rFonts w:hint="eastAsia" w:cs="宋体"/>
          <w:color w:val="auto"/>
          <w:sz w:val="21"/>
          <w:szCs w:val="21"/>
          <w:highlight w:val="none"/>
        </w:rPr>
        <w:t>4、不与发包人或招标代理机构串通投标，不损害国家利益、社会公共利益或其他当事人的合法权益。</w:t>
      </w:r>
    </w:p>
    <w:p w14:paraId="3FCE70AE">
      <w:pPr>
        <w:spacing w:line="520" w:lineRule="exact"/>
        <w:ind w:firstLine="420" w:firstLineChars="200"/>
        <w:rPr>
          <w:rFonts w:cs="宋体"/>
          <w:color w:val="auto"/>
          <w:sz w:val="21"/>
          <w:szCs w:val="21"/>
          <w:highlight w:val="none"/>
        </w:rPr>
      </w:pPr>
      <w:r>
        <w:rPr>
          <w:rFonts w:hint="eastAsia" w:cs="宋体"/>
          <w:color w:val="auto"/>
          <w:sz w:val="21"/>
          <w:szCs w:val="21"/>
          <w:highlight w:val="none"/>
        </w:rPr>
        <w:t>5、不向发包人、磋商小组成员、监督人员行贿。</w:t>
      </w:r>
    </w:p>
    <w:p w14:paraId="6DC59029">
      <w:pPr>
        <w:spacing w:line="520" w:lineRule="exact"/>
        <w:ind w:firstLine="420" w:firstLineChars="200"/>
        <w:rPr>
          <w:rFonts w:cs="宋体"/>
          <w:color w:val="auto"/>
          <w:sz w:val="21"/>
          <w:szCs w:val="21"/>
          <w:highlight w:val="none"/>
        </w:rPr>
      </w:pPr>
      <w:r>
        <w:rPr>
          <w:rFonts w:hint="eastAsia" w:cs="宋体"/>
          <w:color w:val="auto"/>
          <w:sz w:val="21"/>
          <w:szCs w:val="21"/>
          <w:highlight w:val="none"/>
        </w:rPr>
        <w:t>6、不扰乱发包人及招标代理机构经营活动的正常秩序。</w:t>
      </w:r>
    </w:p>
    <w:p w14:paraId="4F3863A3">
      <w:pPr>
        <w:spacing w:line="520" w:lineRule="exact"/>
        <w:ind w:firstLine="420" w:firstLineChars="200"/>
        <w:rPr>
          <w:rFonts w:cs="宋体"/>
          <w:color w:val="auto"/>
          <w:sz w:val="21"/>
          <w:szCs w:val="21"/>
          <w:highlight w:val="none"/>
        </w:rPr>
      </w:pPr>
      <w:r>
        <w:rPr>
          <w:rFonts w:hint="eastAsia" w:cs="宋体"/>
          <w:color w:val="auto"/>
          <w:sz w:val="21"/>
          <w:szCs w:val="21"/>
          <w:highlight w:val="none"/>
        </w:rPr>
        <w:t>7、不进行虚假恶意投诉。</w:t>
      </w:r>
    </w:p>
    <w:p w14:paraId="41535009">
      <w:pPr>
        <w:spacing w:line="520" w:lineRule="exact"/>
        <w:ind w:firstLine="420" w:firstLineChars="200"/>
        <w:rPr>
          <w:rFonts w:cs="宋体"/>
          <w:color w:val="auto"/>
          <w:sz w:val="21"/>
          <w:szCs w:val="21"/>
          <w:highlight w:val="none"/>
        </w:rPr>
      </w:pPr>
      <w:r>
        <w:rPr>
          <w:rFonts w:hint="eastAsia" w:cs="宋体"/>
          <w:color w:val="auto"/>
          <w:sz w:val="21"/>
          <w:szCs w:val="21"/>
          <w:highlight w:val="none"/>
        </w:rPr>
        <w:t>8、因违反法律、法规或相关规定被查处的，不干预案件查处。</w:t>
      </w:r>
    </w:p>
    <w:p w14:paraId="343251B8">
      <w:pPr>
        <w:spacing w:line="520" w:lineRule="exact"/>
        <w:ind w:firstLine="420" w:firstLineChars="200"/>
        <w:rPr>
          <w:rFonts w:cs="宋体"/>
          <w:color w:val="auto"/>
          <w:sz w:val="21"/>
          <w:szCs w:val="21"/>
          <w:highlight w:val="none"/>
        </w:rPr>
      </w:pPr>
      <w:r>
        <w:rPr>
          <w:rFonts w:hint="eastAsia" w:cs="宋体"/>
          <w:color w:val="auto"/>
          <w:sz w:val="21"/>
          <w:szCs w:val="21"/>
          <w:highlight w:val="none"/>
        </w:rPr>
        <w:t>如违反上述承诺，甘愿接受发包人有关监督管理部门、纪检监察机关或司法机关调查处理。违法、违规或不良行为事实成立的，本供应商不再要求退还投标时所提交的磋商保证金，并承担相关责任。给发包人造成损失的，依法承担赔偿责任。</w:t>
      </w:r>
    </w:p>
    <w:p w14:paraId="0975E1A1">
      <w:pPr>
        <w:spacing w:line="520" w:lineRule="exact"/>
        <w:ind w:firstLine="420" w:firstLineChars="200"/>
        <w:rPr>
          <w:rFonts w:cs="宋体"/>
          <w:color w:val="auto"/>
          <w:sz w:val="21"/>
          <w:szCs w:val="21"/>
          <w:highlight w:val="none"/>
        </w:rPr>
      </w:pPr>
      <w:r>
        <w:rPr>
          <w:rFonts w:hint="eastAsia" w:cs="宋体"/>
          <w:color w:val="auto"/>
          <w:sz w:val="21"/>
          <w:szCs w:val="21"/>
          <w:highlight w:val="none"/>
        </w:rPr>
        <w:t>如我方违背了上述承诺，发包人有权取消我方的中标资格，并由发包人将我方的违约行为上报行政监督主管部门，作为不良记录在案。</w:t>
      </w:r>
    </w:p>
    <w:p w14:paraId="0A5D928B">
      <w:pPr>
        <w:spacing w:line="360" w:lineRule="auto"/>
        <w:ind w:firstLine="525"/>
        <w:jc w:val="both"/>
        <w:rPr>
          <w:rFonts w:hint="eastAsia" w:ascii="宋体" w:hAnsi="宋体"/>
          <w:color w:val="auto"/>
          <w:sz w:val="21"/>
          <w:szCs w:val="21"/>
          <w:highlight w:val="none"/>
        </w:rPr>
      </w:pPr>
    </w:p>
    <w:p w14:paraId="42CB82B0">
      <w:pPr>
        <w:pStyle w:val="21"/>
        <w:spacing w:line="360" w:lineRule="auto"/>
        <w:rPr>
          <w:rFonts w:hint="eastAsia" w:ascii="宋体" w:hAnsi="宋体"/>
          <w:color w:val="auto"/>
          <w:sz w:val="21"/>
          <w:szCs w:val="21"/>
          <w:highlight w:val="none"/>
        </w:rPr>
      </w:pPr>
      <w:bookmarkStart w:id="150" w:name="OLE_LINK1"/>
      <w:r>
        <w:rPr>
          <w:rFonts w:hint="eastAsia" w:ascii="宋体" w:hAnsi="宋体"/>
          <w:color w:val="auto"/>
          <w:sz w:val="21"/>
          <w:szCs w:val="21"/>
          <w:highlight w:val="none"/>
        </w:rPr>
        <w:t xml:space="preserve">供应商（电子签章）：                               </w:t>
      </w:r>
    </w:p>
    <w:p w14:paraId="14616984">
      <w:pPr>
        <w:pStyle w:val="21"/>
        <w:spacing w:line="360" w:lineRule="auto"/>
        <w:rPr>
          <w:rFonts w:hint="eastAsia" w:ascii="宋体" w:hAnsi="宋体"/>
          <w:color w:val="auto"/>
          <w:sz w:val="21"/>
          <w:szCs w:val="21"/>
          <w:highlight w:val="none"/>
        </w:rPr>
      </w:pPr>
      <w:r>
        <w:rPr>
          <w:rFonts w:hint="eastAsia" w:ascii="宋体" w:hAnsi="宋体"/>
          <w:color w:val="auto"/>
          <w:sz w:val="21"/>
          <w:szCs w:val="21"/>
          <w:highlight w:val="none"/>
        </w:rPr>
        <w:t>法 定 代 表 人或其委托代理人（签字或电子签章）：</w:t>
      </w:r>
      <w:r>
        <w:rPr>
          <w:rFonts w:ascii="宋体" w:hAnsi="宋体"/>
          <w:color w:val="auto"/>
          <w:sz w:val="21"/>
          <w:szCs w:val="21"/>
          <w:highlight w:val="none"/>
          <w:u w:val="single"/>
        </w:rPr>
        <w:t xml:space="preserve">                      </w:t>
      </w:r>
      <w:r>
        <w:rPr>
          <w:rFonts w:hint="eastAsia" w:ascii="宋体" w:hAnsi="宋体"/>
          <w:color w:val="auto"/>
          <w:sz w:val="21"/>
          <w:szCs w:val="21"/>
          <w:highlight w:val="none"/>
          <w:u w:val="single"/>
        </w:rPr>
        <w:t xml:space="preserve">         </w:t>
      </w:r>
    </w:p>
    <w:p w14:paraId="78199CAE">
      <w:pPr>
        <w:spacing w:line="360" w:lineRule="auto"/>
        <w:rPr>
          <w:rFonts w:hint="eastAsia" w:ascii="宋体" w:hAnsi="宋体"/>
          <w:color w:val="auto"/>
          <w:sz w:val="21"/>
          <w:szCs w:val="21"/>
          <w:highlight w:val="none"/>
        </w:rPr>
      </w:pPr>
      <w:r>
        <w:rPr>
          <w:rFonts w:hint="eastAsia" w:ascii="宋体" w:hAnsi="宋体"/>
          <w:color w:val="auto"/>
          <w:sz w:val="21"/>
          <w:szCs w:val="21"/>
          <w:highlight w:val="none"/>
        </w:rPr>
        <w:t>日期：</w:t>
      </w:r>
      <w:r>
        <w:rPr>
          <w:rFonts w:ascii="宋体" w:hAnsi="宋体"/>
          <w:color w:val="auto"/>
          <w:sz w:val="21"/>
          <w:szCs w:val="21"/>
          <w:highlight w:val="none"/>
          <w:u w:val="single"/>
        </w:rPr>
        <w:t xml:space="preserve">          </w:t>
      </w:r>
      <w:r>
        <w:rPr>
          <w:rFonts w:ascii="宋体" w:hAnsi="宋体"/>
          <w:color w:val="auto"/>
          <w:sz w:val="21"/>
          <w:szCs w:val="21"/>
          <w:highlight w:val="none"/>
        </w:rPr>
        <w:t xml:space="preserve"> </w:t>
      </w:r>
      <w:r>
        <w:rPr>
          <w:rFonts w:hint="eastAsia" w:ascii="宋体" w:hAnsi="宋体"/>
          <w:color w:val="auto"/>
          <w:sz w:val="21"/>
          <w:szCs w:val="21"/>
          <w:highlight w:val="none"/>
        </w:rPr>
        <w:t>年</w:t>
      </w:r>
      <w:r>
        <w:rPr>
          <w:rFonts w:ascii="宋体" w:hAnsi="宋体"/>
          <w:color w:val="auto"/>
          <w:sz w:val="21"/>
          <w:szCs w:val="21"/>
          <w:highlight w:val="none"/>
        </w:rPr>
        <w:t xml:space="preserve"> </w:t>
      </w:r>
      <w:r>
        <w:rPr>
          <w:rFonts w:ascii="宋体" w:hAnsi="宋体"/>
          <w:color w:val="auto"/>
          <w:sz w:val="21"/>
          <w:szCs w:val="21"/>
          <w:highlight w:val="none"/>
          <w:u w:val="single"/>
        </w:rPr>
        <w:t xml:space="preserve">         </w:t>
      </w:r>
      <w:r>
        <w:rPr>
          <w:rFonts w:hint="eastAsia" w:ascii="宋体" w:hAnsi="宋体"/>
          <w:color w:val="auto"/>
          <w:sz w:val="21"/>
          <w:szCs w:val="21"/>
          <w:highlight w:val="none"/>
        </w:rPr>
        <w:t>月</w:t>
      </w:r>
      <w:r>
        <w:rPr>
          <w:rFonts w:ascii="宋体" w:hAnsi="宋体"/>
          <w:color w:val="auto"/>
          <w:sz w:val="21"/>
          <w:szCs w:val="21"/>
          <w:highlight w:val="none"/>
        </w:rPr>
        <w:t xml:space="preserve"> </w:t>
      </w:r>
      <w:r>
        <w:rPr>
          <w:rFonts w:ascii="宋体" w:hAnsi="宋体"/>
          <w:color w:val="auto"/>
          <w:sz w:val="21"/>
          <w:szCs w:val="21"/>
          <w:highlight w:val="none"/>
          <w:u w:val="single"/>
        </w:rPr>
        <w:t xml:space="preserve">        </w:t>
      </w:r>
      <w:r>
        <w:rPr>
          <w:rFonts w:hint="eastAsia" w:ascii="宋体" w:hAnsi="宋体"/>
          <w:color w:val="auto"/>
          <w:sz w:val="21"/>
          <w:szCs w:val="21"/>
          <w:highlight w:val="none"/>
        </w:rPr>
        <w:t>日</w:t>
      </w:r>
      <w:bookmarkEnd w:id="150"/>
    </w:p>
    <w:p w14:paraId="099CB41A">
      <w:pPr>
        <w:pStyle w:val="3"/>
        <w:spacing w:line="360" w:lineRule="auto"/>
        <w:jc w:val="center"/>
        <w:rPr>
          <w:color w:val="auto"/>
          <w:highlight w:val="none"/>
        </w:rPr>
      </w:pPr>
      <w:r>
        <w:rPr>
          <w:rFonts w:ascii="Times New Roman" w:hAnsi="Times New Roman"/>
          <w:color w:val="auto"/>
          <w:highlight w:val="none"/>
        </w:rPr>
        <w:br w:type="page"/>
      </w:r>
      <w:bookmarkStart w:id="151" w:name="_Toc243176605"/>
      <w:r>
        <w:rPr>
          <w:color w:val="auto"/>
          <w:highlight w:val="none"/>
        </w:rPr>
        <w:t>二、商务部分格式</w:t>
      </w:r>
      <w:bookmarkEnd w:id="151"/>
    </w:p>
    <w:p w14:paraId="5BB60AB5">
      <w:pPr>
        <w:pStyle w:val="3"/>
        <w:spacing w:line="360" w:lineRule="auto"/>
        <w:jc w:val="center"/>
        <w:rPr>
          <w:rFonts w:ascii="Times New Roman" w:hAnsi="Times New Roman"/>
          <w:color w:val="auto"/>
          <w:sz w:val="30"/>
          <w:szCs w:val="30"/>
          <w:highlight w:val="none"/>
        </w:rPr>
      </w:pPr>
      <w:bookmarkStart w:id="152" w:name="_Toc243176606"/>
      <w:r>
        <w:rPr>
          <w:rFonts w:ascii="Times New Roman" w:hAnsi="Times New Roman"/>
          <w:color w:val="auto"/>
          <w:sz w:val="30"/>
          <w:szCs w:val="30"/>
          <w:highlight w:val="none"/>
        </w:rPr>
        <w:t>（一）磋商报价一览表</w:t>
      </w:r>
      <w:bookmarkEnd w:id="152"/>
    </w:p>
    <w:p w14:paraId="71C5A39C">
      <w:pPr>
        <w:rPr>
          <w:rFonts w:hint="eastAsia" w:eastAsia="宋体"/>
          <w:color w:val="auto"/>
          <w:highlight w:val="none"/>
          <w:lang w:eastAsia="zh-CN"/>
        </w:rPr>
      </w:pPr>
      <w:r>
        <w:rPr>
          <w:color w:val="auto"/>
          <w:highlight w:val="none"/>
        </w:rPr>
        <w:t>项目名称：</w:t>
      </w:r>
      <w:r>
        <w:rPr>
          <w:rFonts w:hint="eastAsia"/>
          <w:color w:val="auto"/>
          <w:highlight w:val="none"/>
          <w:lang w:eastAsia="zh-CN"/>
        </w:rPr>
        <w:t>云南民族村整体改造及运营提升专项法律服务项目</w:t>
      </w:r>
    </w:p>
    <w:tbl>
      <w:tblPr>
        <w:tblStyle w:val="54"/>
        <w:tblW w:w="9450"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5"/>
        <w:gridCol w:w="2142"/>
        <w:gridCol w:w="2712"/>
        <w:gridCol w:w="3231"/>
      </w:tblGrid>
      <w:tr w14:paraId="6EEAE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1365" w:type="dxa"/>
            <w:tcBorders>
              <w:top w:val="single" w:color="auto" w:sz="4" w:space="0"/>
              <w:left w:val="single" w:color="auto" w:sz="4" w:space="0"/>
              <w:bottom w:val="single" w:color="auto" w:sz="4" w:space="0"/>
              <w:right w:val="single" w:color="auto" w:sz="4" w:space="0"/>
            </w:tcBorders>
            <w:vAlign w:val="center"/>
          </w:tcPr>
          <w:p w14:paraId="46227A0D">
            <w:pPr>
              <w:spacing w:line="360" w:lineRule="auto"/>
              <w:jc w:val="center"/>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序号</w:t>
            </w:r>
          </w:p>
        </w:tc>
        <w:tc>
          <w:tcPr>
            <w:tcW w:w="2142" w:type="dxa"/>
            <w:tcBorders>
              <w:top w:val="single" w:color="auto" w:sz="4" w:space="0"/>
              <w:left w:val="single" w:color="auto" w:sz="4" w:space="0"/>
              <w:bottom w:val="single" w:color="auto" w:sz="4" w:space="0"/>
              <w:right w:val="single" w:color="auto" w:sz="4" w:space="0"/>
            </w:tcBorders>
            <w:vAlign w:val="center"/>
          </w:tcPr>
          <w:p w14:paraId="33B13198">
            <w:pPr>
              <w:spacing w:line="360" w:lineRule="auto"/>
              <w:jc w:val="center"/>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项目</w:t>
            </w:r>
          </w:p>
        </w:tc>
        <w:tc>
          <w:tcPr>
            <w:tcW w:w="2712" w:type="dxa"/>
            <w:tcBorders>
              <w:top w:val="single" w:color="auto" w:sz="4" w:space="0"/>
              <w:left w:val="single" w:color="auto" w:sz="4" w:space="0"/>
              <w:bottom w:val="single" w:color="auto" w:sz="4" w:space="0"/>
              <w:right w:val="single" w:color="auto" w:sz="4" w:space="0"/>
            </w:tcBorders>
            <w:vAlign w:val="center"/>
          </w:tcPr>
          <w:p w14:paraId="2FC86B23">
            <w:pPr>
              <w:spacing w:line="360" w:lineRule="auto"/>
              <w:jc w:val="center"/>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填报内容</w:t>
            </w:r>
          </w:p>
        </w:tc>
        <w:tc>
          <w:tcPr>
            <w:tcW w:w="3231" w:type="dxa"/>
            <w:tcBorders>
              <w:top w:val="single" w:color="auto" w:sz="4" w:space="0"/>
              <w:left w:val="single" w:color="auto" w:sz="4" w:space="0"/>
              <w:bottom w:val="single" w:color="auto" w:sz="4" w:space="0"/>
              <w:right w:val="single" w:color="auto" w:sz="4" w:space="0"/>
            </w:tcBorders>
            <w:vAlign w:val="center"/>
          </w:tcPr>
          <w:p w14:paraId="36C2EC2A">
            <w:pPr>
              <w:spacing w:line="360" w:lineRule="auto"/>
              <w:jc w:val="center"/>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备注</w:t>
            </w:r>
          </w:p>
        </w:tc>
      </w:tr>
      <w:tr w14:paraId="21C0C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1365" w:type="dxa"/>
            <w:tcBorders>
              <w:top w:val="single" w:color="auto" w:sz="4" w:space="0"/>
              <w:left w:val="single" w:color="auto" w:sz="4" w:space="0"/>
              <w:bottom w:val="single" w:color="auto" w:sz="4" w:space="0"/>
              <w:right w:val="single" w:color="auto" w:sz="4" w:space="0"/>
            </w:tcBorders>
            <w:vAlign w:val="center"/>
          </w:tcPr>
          <w:p w14:paraId="44CFE1FC">
            <w:pPr>
              <w:spacing w:line="360" w:lineRule="auto"/>
              <w:jc w:val="center"/>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1</w:t>
            </w:r>
          </w:p>
        </w:tc>
        <w:tc>
          <w:tcPr>
            <w:tcW w:w="2142" w:type="dxa"/>
            <w:tcBorders>
              <w:top w:val="single" w:color="auto" w:sz="4" w:space="0"/>
              <w:left w:val="single" w:color="auto" w:sz="4" w:space="0"/>
              <w:bottom w:val="single" w:color="auto" w:sz="4" w:space="0"/>
              <w:right w:val="single" w:color="auto" w:sz="4" w:space="0"/>
            </w:tcBorders>
            <w:vAlign w:val="center"/>
          </w:tcPr>
          <w:p w14:paraId="761D62A0">
            <w:pPr>
              <w:spacing w:line="360" w:lineRule="auto"/>
              <w:jc w:val="center"/>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五个阶段含税包干总价及合计总价</w:t>
            </w:r>
          </w:p>
        </w:tc>
        <w:tc>
          <w:tcPr>
            <w:tcW w:w="2712" w:type="dxa"/>
            <w:tcBorders>
              <w:top w:val="single" w:color="auto" w:sz="4" w:space="0"/>
              <w:left w:val="single" w:color="auto" w:sz="4" w:space="0"/>
              <w:bottom w:val="single" w:color="auto" w:sz="4" w:space="0"/>
              <w:right w:val="single" w:color="auto" w:sz="4" w:space="0"/>
            </w:tcBorders>
            <w:vAlign w:val="center"/>
          </w:tcPr>
          <w:p w14:paraId="605D8B69">
            <w:pPr>
              <w:spacing w:line="360" w:lineRule="auto"/>
              <w:jc w:val="center"/>
              <w:rPr>
                <w:rFonts w:hint="eastAsia" w:ascii="宋体" w:hAnsi="宋体" w:cs="宋体"/>
                <w:b/>
                <w:bCs/>
                <w:color w:val="auto"/>
                <w:sz w:val="21"/>
                <w:szCs w:val="21"/>
                <w:highlight w:val="none"/>
                <w:u w:val="single"/>
              </w:rPr>
            </w:pPr>
            <w:r>
              <w:rPr>
                <w:rFonts w:hint="eastAsia" w:ascii="宋体" w:hAnsi="宋体" w:cs="宋体"/>
                <w:color w:val="auto"/>
                <w:kern w:val="2"/>
                <w:sz w:val="21"/>
                <w:szCs w:val="21"/>
                <w:highlight w:val="none"/>
              </w:rPr>
              <w:t>第一阶段【　　】万元；第二阶段【　　】万元；第三阶段【　　】万元；第四阶段【　　】万元；第五阶段【　　】万元；合计总价【　　】万元</w:t>
            </w:r>
          </w:p>
        </w:tc>
        <w:tc>
          <w:tcPr>
            <w:tcW w:w="3231" w:type="dxa"/>
            <w:tcBorders>
              <w:top w:val="single" w:color="auto" w:sz="4" w:space="0"/>
              <w:left w:val="single" w:color="auto" w:sz="4" w:space="0"/>
              <w:bottom w:val="single" w:color="auto" w:sz="4" w:space="0"/>
              <w:right w:val="single" w:color="auto" w:sz="4" w:space="0"/>
            </w:tcBorders>
            <w:vAlign w:val="center"/>
          </w:tcPr>
          <w:p w14:paraId="7FBA1B93">
            <w:pPr>
              <w:spacing w:line="360" w:lineRule="exact"/>
              <w:jc w:val="center"/>
              <w:rPr>
                <w:rFonts w:hint="eastAsia" w:ascii="宋体" w:hAnsi="宋体" w:cs="宋体"/>
                <w:color w:val="auto"/>
                <w:sz w:val="21"/>
                <w:szCs w:val="21"/>
                <w:highlight w:val="none"/>
              </w:rPr>
            </w:pPr>
            <w:r>
              <w:rPr>
                <w:color w:val="auto"/>
                <w:highlight w:val="none"/>
              </w:rPr>
              <w:t>各阶段上限价分别为11.50/5.50/5.33/8.67/6.33万元，合计上限价37.33万元，供应商报价不得超过相应上限价，否则作否决处理</w:t>
            </w:r>
          </w:p>
        </w:tc>
      </w:tr>
      <w:tr w14:paraId="45EB4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1365" w:type="dxa"/>
            <w:tcBorders>
              <w:top w:val="single" w:color="auto" w:sz="4" w:space="0"/>
              <w:left w:val="single" w:color="auto" w:sz="4" w:space="0"/>
              <w:bottom w:val="single" w:color="auto" w:sz="4" w:space="0"/>
              <w:right w:val="single" w:color="auto" w:sz="4" w:space="0"/>
            </w:tcBorders>
            <w:vAlign w:val="center"/>
          </w:tcPr>
          <w:p w14:paraId="7CA57942">
            <w:pPr>
              <w:spacing w:line="360" w:lineRule="auto"/>
              <w:jc w:val="center"/>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2</w:t>
            </w:r>
          </w:p>
        </w:tc>
        <w:tc>
          <w:tcPr>
            <w:tcW w:w="2142" w:type="dxa"/>
            <w:tcBorders>
              <w:top w:val="single" w:color="auto" w:sz="4" w:space="0"/>
              <w:left w:val="single" w:color="auto" w:sz="4" w:space="0"/>
              <w:bottom w:val="single" w:color="auto" w:sz="4" w:space="0"/>
              <w:right w:val="single" w:color="auto" w:sz="4" w:space="0"/>
            </w:tcBorders>
            <w:vAlign w:val="center"/>
          </w:tcPr>
          <w:p w14:paraId="7329D61B">
            <w:pPr>
              <w:spacing w:line="360" w:lineRule="auto"/>
              <w:jc w:val="center"/>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服务周期</w:t>
            </w:r>
          </w:p>
        </w:tc>
        <w:tc>
          <w:tcPr>
            <w:tcW w:w="2712" w:type="dxa"/>
            <w:tcBorders>
              <w:top w:val="single" w:color="auto" w:sz="4" w:space="0"/>
              <w:left w:val="single" w:color="auto" w:sz="4" w:space="0"/>
              <w:bottom w:val="single" w:color="auto" w:sz="4" w:space="0"/>
              <w:right w:val="single" w:color="auto" w:sz="4" w:space="0"/>
            </w:tcBorders>
            <w:vAlign w:val="center"/>
          </w:tcPr>
          <w:p w14:paraId="2707B0D6">
            <w:pPr>
              <w:spacing w:line="360" w:lineRule="auto"/>
              <w:jc w:val="center"/>
              <w:rPr>
                <w:rFonts w:hint="eastAsia" w:ascii="宋体" w:hAnsi="宋体" w:cs="宋体"/>
                <w:b/>
                <w:bCs/>
                <w:color w:val="auto"/>
                <w:sz w:val="21"/>
                <w:szCs w:val="21"/>
                <w:highlight w:val="none"/>
                <w:u w:val="single"/>
              </w:rPr>
            </w:pPr>
          </w:p>
        </w:tc>
        <w:tc>
          <w:tcPr>
            <w:tcW w:w="3231" w:type="dxa"/>
            <w:tcBorders>
              <w:top w:val="single" w:color="auto" w:sz="4" w:space="0"/>
              <w:left w:val="single" w:color="auto" w:sz="4" w:space="0"/>
              <w:bottom w:val="single" w:color="auto" w:sz="4" w:space="0"/>
              <w:right w:val="single" w:color="auto" w:sz="4" w:space="0"/>
            </w:tcBorders>
            <w:vAlign w:val="center"/>
          </w:tcPr>
          <w:p w14:paraId="6D17D24A">
            <w:pPr>
              <w:spacing w:line="360" w:lineRule="exact"/>
              <w:jc w:val="both"/>
              <w:rPr>
                <w:rFonts w:hint="eastAsia" w:ascii="宋体" w:hAnsi="宋体" w:cs="宋体"/>
                <w:color w:val="auto"/>
                <w:sz w:val="21"/>
                <w:szCs w:val="21"/>
                <w:highlight w:val="none"/>
              </w:rPr>
            </w:pPr>
          </w:p>
        </w:tc>
      </w:tr>
      <w:tr w14:paraId="51BDD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1365" w:type="dxa"/>
            <w:tcBorders>
              <w:top w:val="single" w:color="auto" w:sz="4" w:space="0"/>
              <w:left w:val="single" w:color="auto" w:sz="4" w:space="0"/>
              <w:bottom w:val="single" w:color="auto" w:sz="4" w:space="0"/>
              <w:right w:val="single" w:color="auto" w:sz="4" w:space="0"/>
            </w:tcBorders>
            <w:vAlign w:val="center"/>
          </w:tcPr>
          <w:p w14:paraId="6DBCAB91">
            <w:pPr>
              <w:spacing w:line="360" w:lineRule="auto"/>
              <w:jc w:val="center"/>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3</w:t>
            </w:r>
          </w:p>
        </w:tc>
        <w:tc>
          <w:tcPr>
            <w:tcW w:w="2142" w:type="dxa"/>
            <w:tcBorders>
              <w:top w:val="single" w:color="auto" w:sz="4" w:space="0"/>
              <w:left w:val="single" w:color="auto" w:sz="4" w:space="0"/>
              <w:bottom w:val="single" w:color="auto" w:sz="4" w:space="0"/>
              <w:right w:val="single" w:color="auto" w:sz="4" w:space="0"/>
            </w:tcBorders>
            <w:vAlign w:val="center"/>
          </w:tcPr>
          <w:p w14:paraId="7A0ED41B">
            <w:pPr>
              <w:spacing w:line="360" w:lineRule="auto"/>
              <w:jc w:val="center"/>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质量标准</w:t>
            </w:r>
          </w:p>
        </w:tc>
        <w:tc>
          <w:tcPr>
            <w:tcW w:w="2712" w:type="dxa"/>
            <w:tcBorders>
              <w:top w:val="single" w:color="auto" w:sz="4" w:space="0"/>
              <w:left w:val="single" w:color="auto" w:sz="4" w:space="0"/>
              <w:bottom w:val="single" w:color="auto" w:sz="4" w:space="0"/>
              <w:right w:val="single" w:color="auto" w:sz="4" w:space="0"/>
            </w:tcBorders>
            <w:vAlign w:val="center"/>
          </w:tcPr>
          <w:p w14:paraId="25EC0885">
            <w:pPr>
              <w:spacing w:line="360" w:lineRule="auto"/>
              <w:jc w:val="center"/>
              <w:rPr>
                <w:rFonts w:hint="eastAsia" w:ascii="宋体" w:hAnsi="宋体" w:cs="宋体"/>
                <w:color w:val="auto"/>
                <w:kern w:val="2"/>
                <w:sz w:val="21"/>
                <w:szCs w:val="21"/>
                <w:highlight w:val="none"/>
              </w:rPr>
            </w:pPr>
          </w:p>
        </w:tc>
        <w:tc>
          <w:tcPr>
            <w:tcW w:w="3231" w:type="dxa"/>
            <w:tcBorders>
              <w:top w:val="single" w:color="auto" w:sz="4" w:space="0"/>
              <w:left w:val="single" w:color="auto" w:sz="4" w:space="0"/>
              <w:bottom w:val="single" w:color="auto" w:sz="4" w:space="0"/>
              <w:right w:val="single" w:color="auto" w:sz="4" w:space="0"/>
            </w:tcBorders>
            <w:vAlign w:val="center"/>
          </w:tcPr>
          <w:p w14:paraId="6B0FA1C4">
            <w:pPr>
              <w:spacing w:line="360" w:lineRule="auto"/>
              <w:jc w:val="center"/>
              <w:rPr>
                <w:rFonts w:hint="eastAsia" w:ascii="宋体" w:hAnsi="宋体" w:cs="宋体"/>
                <w:color w:val="auto"/>
                <w:kern w:val="2"/>
                <w:sz w:val="21"/>
                <w:szCs w:val="21"/>
                <w:highlight w:val="none"/>
              </w:rPr>
            </w:pPr>
          </w:p>
        </w:tc>
      </w:tr>
      <w:tr w14:paraId="5E822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365" w:type="dxa"/>
            <w:tcBorders>
              <w:top w:val="single" w:color="auto" w:sz="4" w:space="0"/>
              <w:left w:val="single" w:color="auto" w:sz="4" w:space="0"/>
              <w:bottom w:val="single" w:color="auto" w:sz="4" w:space="0"/>
              <w:right w:val="single" w:color="auto" w:sz="4" w:space="0"/>
            </w:tcBorders>
            <w:vAlign w:val="center"/>
          </w:tcPr>
          <w:p w14:paraId="7B3BF96B">
            <w:pPr>
              <w:spacing w:line="360" w:lineRule="auto"/>
              <w:jc w:val="center"/>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4</w:t>
            </w:r>
          </w:p>
        </w:tc>
        <w:tc>
          <w:tcPr>
            <w:tcW w:w="2142" w:type="dxa"/>
            <w:tcBorders>
              <w:top w:val="single" w:color="auto" w:sz="4" w:space="0"/>
              <w:left w:val="single" w:color="auto" w:sz="4" w:space="0"/>
              <w:bottom w:val="single" w:color="auto" w:sz="4" w:space="0"/>
              <w:right w:val="single" w:color="auto" w:sz="4" w:space="0"/>
            </w:tcBorders>
            <w:vAlign w:val="center"/>
          </w:tcPr>
          <w:p w14:paraId="46DC8531">
            <w:pPr>
              <w:spacing w:line="360" w:lineRule="auto"/>
              <w:jc w:val="center"/>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项目负责人</w:t>
            </w:r>
          </w:p>
        </w:tc>
        <w:tc>
          <w:tcPr>
            <w:tcW w:w="2712" w:type="dxa"/>
            <w:tcBorders>
              <w:top w:val="single" w:color="auto" w:sz="4" w:space="0"/>
              <w:left w:val="single" w:color="auto" w:sz="4" w:space="0"/>
              <w:bottom w:val="single" w:color="auto" w:sz="4" w:space="0"/>
              <w:right w:val="single" w:color="auto" w:sz="4" w:space="0"/>
            </w:tcBorders>
            <w:vAlign w:val="center"/>
          </w:tcPr>
          <w:p w14:paraId="14EE8471">
            <w:pPr>
              <w:spacing w:line="360" w:lineRule="auto"/>
              <w:jc w:val="center"/>
              <w:rPr>
                <w:rFonts w:hint="eastAsia" w:ascii="宋体" w:hAnsi="宋体" w:cs="宋体"/>
                <w:color w:val="auto"/>
                <w:kern w:val="2"/>
                <w:sz w:val="21"/>
                <w:szCs w:val="21"/>
                <w:highlight w:val="none"/>
              </w:rPr>
            </w:pPr>
          </w:p>
        </w:tc>
        <w:tc>
          <w:tcPr>
            <w:tcW w:w="3231" w:type="dxa"/>
            <w:tcBorders>
              <w:top w:val="single" w:color="auto" w:sz="4" w:space="0"/>
              <w:left w:val="single" w:color="auto" w:sz="4" w:space="0"/>
              <w:bottom w:val="single" w:color="auto" w:sz="4" w:space="0"/>
              <w:right w:val="single" w:color="auto" w:sz="4" w:space="0"/>
            </w:tcBorders>
            <w:vAlign w:val="center"/>
          </w:tcPr>
          <w:p w14:paraId="1D5B9C26">
            <w:pPr>
              <w:spacing w:line="360" w:lineRule="auto"/>
              <w:jc w:val="center"/>
              <w:rPr>
                <w:rFonts w:hint="eastAsia" w:ascii="宋体" w:hAnsi="宋体" w:cs="宋体"/>
                <w:color w:val="auto"/>
                <w:sz w:val="21"/>
                <w:szCs w:val="21"/>
                <w:highlight w:val="none"/>
              </w:rPr>
            </w:pPr>
          </w:p>
        </w:tc>
      </w:tr>
      <w:tr w14:paraId="4B49B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1365" w:type="dxa"/>
            <w:tcBorders>
              <w:top w:val="single" w:color="auto" w:sz="4" w:space="0"/>
              <w:left w:val="single" w:color="auto" w:sz="4" w:space="0"/>
              <w:bottom w:val="single" w:color="auto" w:sz="4" w:space="0"/>
              <w:right w:val="single" w:color="auto" w:sz="4" w:space="0"/>
            </w:tcBorders>
            <w:vAlign w:val="center"/>
          </w:tcPr>
          <w:p w14:paraId="41396DAB">
            <w:pPr>
              <w:spacing w:line="360" w:lineRule="auto"/>
              <w:jc w:val="center"/>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5</w:t>
            </w:r>
          </w:p>
        </w:tc>
        <w:tc>
          <w:tcPr>
            <w:tcW w:w="2142" w:type="dxa"/>
            <w:tcBorders>
              <w:top w:val="single" w:color="auto" w:sz="4" w:space="0"/>
              <w:left w:val="single" w:color="auto" w:sz="4" w:space="0"/>
              <w:bottom w:val="single" w:color="auto" w:sz="4" w:space="0"/>
              <w:right w:val="single" w:color="auto" w:sz="4" w:space="0"/>
            </w:tcBorders>
            <w:vAlign w:val="center"/>
          </w:tcPr>
          <w:p w14:paraId="53312372">
            <w:pPr>
              <w:spacing w:line="360" w:lineRule="auto"/>
              <w:jc w:val="center"/>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说明</w:t>
            </w:r>
          </w:p>
        </w:tc>
        <w:tc>
          <w:tcPr>
            <w:tcW w:w="2712" w:type="dxa"/>
            <w:tcBorders>
              <w:top w:val="single" w:color="auto" w:sz="4" w:space="0"/>
              <w:left w:val="single" w:color="auto" w:sz="4" w:space="0"/>
              <w:bottom w:val="single" w:color="auto" w:sz="4" w:space="0"/>
              <w:right w:val="single" w:color="auto" w:sz="4" w:space="0"/>
            </w:tcBorders>
            <w:vAlign w:val="center"/>
          </w:tcPr>
          <w:p w14:paraId="1F299C97">
            <w:pPr>
              <w:spacing w:line="360" w:lineRule="auto"/>
              <w:ind w:firstLine="420" w:firstLineChars="200"/>
              <w:rPr>
                <w:rFonts w:hint="eastAsia" w:ascii="宋体" w:hAnsi="宋体" w:cs="宋体"/>
                <w:color w:val="auto"/>
                <w:kern w:val="2"/>
                <w:sz w:val="21"/>
                <w:szCs w:val="21"/>
                <w:highlight w:val="none"/>
              </w:rPr>
            </w:pPr>
          </w:p>
        </w:tc>
        <w:tc>
          <w:tcPr>
            <w:tcW w:w="3231" w:type="dxa"/>
            <w:tcBorders>
              <w:top w:val="single" w:color="auto" w:sz="4" w:space="0"/>
              <w:left w:val="single" w:color="auto" w:sz="4" w:space="0"/>
              <w:bottom w:val="single" w:color="auto" w:sz="4" w:space="0"/>
              <w:right w:val="single" w:color="auto" w:sz="4" w:space="0"/>
            </w:tcBorders>
            <w:vAlign w:val="center"/>
          </w:tcPr>
          <w:p w14:paraId="1A690DF9">
            <w:pPr>
              <w:spacing w:line="360" w:lineRule="auto"/>
              <w:ind w:firstLine="420" w:firstLineChars="200"/>
              <w:rPr>
                <w:rFonts w:hint="eastAsia" w:ascii="宋体" w:hAnsi="宋体" w:cs="宋体"/>
                <w:color w:val="auto"/>
                <w:kern w:val="2"/>
                <w:sz w:val="21"/>
                <w:szCs w:val="21"/>
                <w:highlight w:val="none"/>
              </w:rPr>
            </w:pPr>
          </w:p>
        </w:tc>
      </w:tr>
    </w:tbl>
    <w:p w14:paraId="65FED8B6">
      <w:pPr>
        <w:pStyle w:val="21"/>
        <w:spacing w:line="360" w:lineRule="auto"/>
        <w:rPr>
          <w:rFonts w:hint="eastAsia" w:ascii="宋体" w:hAnsi="宋体"/>
          <w:color w:val="auto"/>
          <w:sz w:val="21"/>
          <w:szCs w:val="21"/>
          <w:highlight w:val="none"/>
        </w:rPr>
      </w:pPr>
      <w:r>
        <w:rPr>
          <w:rFonts w:hint="eastAsia" w:ascii="宋体" w:hAnsi="宋体"/>
          <w:color w:val="auto"/>
          <w:sz w:val="21"/>
          <w:szCs w:val="21"/>
          <w:highlight w:val="none"/>
        </w:rPr>
        <w:t xml:space="preserve">供应商（电子签章）：                               </w:t>
      </w:r>
    </w:p>
    <w:p w14:paraId="7CCCAA29">
      <w:pPr>
        <w:pStyle w:val="21"/>
        <w:spacing w:line="360" w:lineRule="auto"/>
        <w:rPr>
          <w:rFonts w:hint="eastAsia" w:ascii="宋体" w:hAnsi="宋体"/>
          <w:color w:val="auto"/>
          <w:sz w:val="21"/>
          <w:szCs w:val="21"/>
          <w:highlight w:val="none"/>
        </w:rPr>
      </w:pPr>
      <w:r>
        <w:rPr>
          <w:rFonts w:hint="eastAsia" w:ascii="宋体" w:hAnsi="宋体"/>
          <w:color w:val="auto"/>
          <w:sz w:val="21"/>
          <w:szCs w:val="21"/>
          <w:highlight w:val="none"/>
        </w:rPr>
        <w:t>法 定 代 表 人或其委托代理人（签字或电子签章）：</w:t>
      </w:r>
      <w:r>
        <w:rPr>
          <w:rFonts w:ascii="宋体" w:hAnsi="宋体"/>
          <w:color w:val="auto"/>
          <w:sz w:val="21"/>
          <w:szCs w:val="21"/>
          <w:highlight w:val="none"/>
          <w:u w:val="single"/>
        </w:rPr>
        <w:t xml:space="preserve">                      </w:t>
      </w:r>
      <w:r>
        <w:rPr>
          <w:rFonts w:hint="eastAsia" w:ascii="宋体" w:hAnsi="宋体"/>
          <w:color w:val="auto"/>
          <w:sz w:val="21"/>
          <w:szCs w:val="21"/>
          <w:highlight w:val="none"/>
          <w:u w:val="single"/>
        </w:rPr>
        <w:t xml:space="preserve">         </w:t>
      </w:r>
    </w:p>
    <w:p w14:paraId="52A8E440">
      <w:pPr>
        <w:rPr>
          <w:rFonts w:hint="eastAsia" w:ascii="宋体" w:hAnsi="宋体"/>
          <w:color w:val="auto"/>
          <w:sz w:val="21"/>
          <w:szCs w:val="21"/>
          <w:highlight w:val="none"/>
        </w:rPr>
      </w:pPr>
      <w:r>
        <w:rPr>
          <w:rFonts w:hint="eastAsia" w:ascii="宋体" w:hAnsi="宋体"/>
          <w:color w:val="auto"/>
          <w:sz w:val="21"/>
          <w:szCs w:val="21"/>
          <w:highlight w:val="none"/>
        </w:rPr>
        <w:t>日期：</w:t>
      </w:r>
      <w:r>
        <w:rPr>
          <w:rFonts w:ascii="宋体" w:hAnsi="宋体"/>
          <w:color w:val="auto"/>
          <w:sz w:val="21"/>
          <w:szCs w:val="21"/>
          <w:highlight w:val="none"/>
          <w:u w:val="single"/>
        </w:rPr>
        <w:t xml:space="preserve">          </w:t>
      </w:r>
      <w:r>
        <w:rPr>
          <w:rFonts w:ascii="宋体" w:hAnsi="宋体"/>
          <w:color w:val="auto"/>
          <w:sz w:val="21"/>
          <w:szCs w:val="21"/>
          <w:highlight w:val="none"/>
        </w:rPr>
        <w:t xml:space="preserve"> </w:t>
      </w:r>
      <w:r>
        <w:rPr>
          <w:rFonts w:hint="eastAsia" w:ascii="宋体" w:hAnsi="宋体"/>
          <w:color w:val="auto"/>
          <w:sz w:val="21"/>
          <w:szCs w:val="21"/>
          <w:highlight w:val="none"/>
        </w:rPr>
        <w:t>年</w:t>
      </w:r>
      <w:r>
        <w:rPr>
          <w:rFonts w:ascii="宋体" w:hAnsi="宋体"/>
          <w:color w:val="auto"/>
          <w:sz w:val="21"/>
          <w:szCs w:val="21"/>
          <w:highlight w:val="none"/>
        </w:rPr>
        <w:t xml:space="preserve"> </w:t>
      </w:r>
      <w:r>
        <w:rPr>
          <w:rFonts w:ascii="宋体" w:hAnsi="宋体"/>
          <w:color w:val="auto"/>
          <w:sz w:val="21"/>
          <w:szCs w:val="21"/>
          <w:highlight w:val="none"/>
          <w:u w:val="single"/>
        </w:rPr>
        <w:t xml:space="preserve">         </w:t>
      </w:r>
      <w:r>
        <w:rPr>
          <w:rFonts w:hint="eastAsia" w:ascii="宋体" w:hAnsi="宋体"/>
          <w:color w:val="auto"/>
          <w:sz w:val="21"/>
          <w:szCs w:val="21"/>
          <w:highlight w:val="none"/>
        </w:rPr>
        <w:t>月</w:t>
      </w:r>
      <w:r>
        <w:rPr>
          <w:rFonts w:ascii="宋体" w:hAnsi="宋体"/>
          <w:color w:val="auto"/>
          <w:sz w:val="21"/>
          <w:szCs w:val="21"/>
          <w:highlight w:val="none"/>
        </w:rPr>
        <w:t xml:space="preserve"> </w:t>
      </w:r>
      <w:r>
        <w:rPr>
          <w:rFonts w:ascii="宋体" w:hAnsi="宋体"/>
          <w:color w:val="auto"/>
          <w:sz w:val="21"/>
          <w:szCs w:val="21"/>
          <w:highlight w:val="none"/>
          <w:u w:val="single"/>
        </w:rPr>
        <w:t xml:space="preserve">        </w:t>
      </w:r>
      <w:r>
        <w:rPr>
          <w:rFonts w:hint="eastAsia" w:ascii="宋体" w:hAnsi="宋体"/>
          <w:color w:val="auto"/>
          <w:sz w:val="21"/>
          <w:szCs w:val="21"/>
          <w:highlight w:val="none"/>
        </w:rPr>
        <w:t>日</w:t>
      </w:r>
    </w:p>
    <w:p w14:paraId="344940BF">
      <w:pPr>
        <w:rPr>
          <w:rFonts w:hint="eastAsia" w:ascii="宋体" w:hAnsi="宋体"/>
          <w:color w:val="auto"/>
          <w:sz w:val="21"/>
          <w:szCs w:val="21"/>
          <w:highlight w:val="none"/>
        </w:rPr>
      </w:pPr>
      <w:r>
        <w:rPr>
          <w:rFonts w:hint="eastAsia" w:ascii="宋体" w:hAnsi="宋体"/>
          <w:color w:val="auto"/>
          <w:sz w:val="21"/>
          <w:szCs w:val="21"/>
          <w:highlight w:val="none"/>
        </w:rPr>
        <w:br w:type="page"/>
      </w:r>
    </w:p>
    <w:p w14:paraId="79459C86">
      <w:pPr>
        <w:rPr>
          <w:color w:val="auto"/>
          <w:highlight w:val="none"/>
        </w:rPr>
      </w:pPr>
    </w:p>
    <w:p w14:paraId="7E92C945">
      <w:pPr>
        <w:pStyle w:val="3"/>
        <w:spacing w:line="360" w:lineRule="auto"/>
        <w:jc w:val="center"/>
        <w:rPr>
          <w:rFonts w:ascii="Times New Roman" w:hAnsi="Times New Roman"/>
          <w:color w:val="auto"/>
          <w:sz w:val="30"/>
          <w:szCs w:val="30"/>
          <w:highlight w:val="none"/>
        </w:rPr>
      </w:pPr>
      <w:bookmarkStart w:id="153" w:name="_Toc243176607"/>
      <w:r>
        <w:rPr>
          <w:rFonts w:ascii="Times New Roman" w:hAnsi="Times New Roman"/>
          <w:color w:val="auto"/>
          <w:sz w:val="30"/>
          <w:szCs w:val="30"/>
          <w:highlight w:val="none"/>
        </w:rPr>
        <w:t>（二）二次报价及补充承诺表</w:t>
      </w:r>
      <w:bookmarkEnd w:id="153"/>
    </w:p>
    <w:p w14:paraId="6040615D">
      <w:pPr>
        <w:rPr>
          <w:rFonts w:hint="eastAsia" w:eastAsia="宋体"/>
          <w:color w:val="auto"/>
          <w:highlight w:val="none"/>
          <w:lang w:eastAsia="zh-CN"/>
        </w:rPr>
      </w:pPr>
      <w:r>
        <w:rPr>
          <w:color w:val="auto"/>
          <w:highlight w:val="none"/>
        </w:rPr>
        <w:t>项目名称：</w:t>
      </w:r>
      <w:r>
        <w:rPr>
          <w:rFonts w:hint="eastAsia"/>
          <w:color w:val="auto"/>
          <w:highlight w:val="none"/>
          <w:lang w:eastAsia="zh-CN"/>
        </w:rPr>
        <w:t>云南民族村整体改造及运营提升专项法律服务项目</w:t>
      </w:r>
    </w:p>
    <w:tbl>
      <w:tblPr>
        <w:tblStyle w:val="54"/>
        <w:tblW w:w="9450"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5"/>
        <w:gridCol w:w="2142"/>
        <w:gridCol w:w="2712"/>
        <w:gridCol w:w="3231"/>
      </w:tblGrid>
      <w:tr w14:paraId="3A64A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1365" w:type="dxa"/>
            <w:tcBorders>
              <w:top w:val="single" w:color="auto" w:sz="4" w:space="0"/>
              <w:left w:val="single" w:color="auto" w:sz="4" w:space="0"/>
              <w:bottom w:val="single" w:color="auto" w:sz="4" w:space="0"/>
              <w:right w:val="single" w:color="auto" w:sz="4" w:space="0"/>
            </w:tcBorders>
            <w:vAlign w:val="center"/>
          </w:tcPr>
          <w:p w14:paraId="20E40C05">
            <w:pPr>
              <w:spacing w:line="360" w:lineRule="auto"/>
              <w:jc w:val="center"/>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序号</w:t>
            </w:r>
          </w:p>
        </w:tc>
        <w:tc>
          <w:tcPr>
            <w:tcW w:w="2142" w:type="dxa"/>
            <w:tcBorders>
              <w:top w:val="single" w:color="auto" w:sz="4" w:space="0"/>
              <w:left w:val="single" w:color="auto" w:sz="4" w:space="0"/>
              <w:bottom w:val="single" w:color="auto" w:sz="4" w:space="0"/>
              <w:right w:val="single" w:color="auto" w:sz="4" w:space="0"/>
            </w:tcBorders>
            <w:vAlign w:val="center"/>
          </w:tcPr>
          <w:p w14:paraId="67ADF07C">
            <w:pPr>
              <w:spacing w:line="360" w:lineRule="auto"/>
              <w:jc w:val="center"/>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项目</w:t>
            </w:r>
          </w:p>
        </w:tc>
        <w:tc>
          <w:tcPr>
            <w:tcW w:w="2712" w:type="dxa"/>
            <w:tcBorders>
              <w:top w:val="single" w:color="auto" w:sz="4" w:space="0"/>
              <w:left w:val="single" w:color="auto" w:sz="4" w:space="0"/>
              <w:bottom w:val="single" w:color="auto" w:sz="4" w:space="0"/>
              <w:right w:val="single" w:color="auto" w:sz="4" w:space="0"/>
            </w:tcBorders>
            <w:vAlign w:val="center"/>
          </w:tcPr>
          <w:p w14:paraId="16EFA8A1">
            <w:pPr>
              <w:spacing w:line="360" w:lineRule="auto"/>
              <w:jc w:val="center"/>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填报内容</w:t>
            </w:r>
          </w:p>
        </w:tc>
        <w:tc>
          <w:tcPr>
            <w:tcW w:w="3231" w:type="dxa"/>
            <w:tcBorders>
              <w:top w:val="single" w:color="auto" w:sz="4" w:space="0"/>
              <w:left w:val="single" w:color="auto" w:sz="4" w:space="0"/>
              <w:bottom w:val="single" w:color="auto" w:sz="4" w:space="0"/>
              <w:right w:val="single" w:color="auto" w:sz="4" w:space="0"/>
            </w:tcBorders>
            <w:vAlign w:val="center"/>
          </w:tcPr>
          <w:p w14:paraId="0324EB54">
            <w:pPr>
              <w:spacing w:line="360" w:lineRule="auto"/>
              <w:jc w:val="center"/>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备注</w:t>
            </w:r>
          </w:p>
        </w:tc>
      </w:tr>
      <w:tr w14:paraId="0C9A4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1365" w:type="dxa"/>
            <w:tcBorders>
              <w:top w:val="single" w:color="auto" w:sz="4" w:space="0"/>
              <w:left w:val="single" w:color="auto" w:sz="4" w:space="0"/>
              <w:bottom w:val="single" w:color="auto" w:sz="4" w:space="0"/>
              <w:right w:val="single" w:color="auto" w:sz="4" w:space="0"/>
            </w:tcBorders>
            <w:vAlign w:val="center"/>
          </w:tcPr>
          <w:p w14:paraId="42D66865">
            <w:pPr>
              <w:spacing w:line="360" w:lineRule="auto"/>
              <w:jc w:val="center"/>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1</w:t>
            </w:r>
          </w:p>
        </w:tc>
        <w:tc>
          <w:tcPr>
            <w:tcW w:w="2142" w:type="dxa"/>
            <w:tcBorders>
              <w:top w:val="single" w:color="auto" w:sz="4" w:space="0"/>
              <w:left w:val="single" w:color="auto" w:sz="4" w:space="0"/>
              <w:bottom w:val="single" w:color="auto" w:sz="4" w:space="0"/>
              <w:right w:val="single" w:color="auto" w:sz="4" w:space="0"/>
            </w:tcBorders>
            <w:vAlign w:val="center"/>
          </w:tcPr>
          <w:p w14:paraId="366FCFFF">
            <w:pPr>
              <w:spacing w:line="360" w:lineRule="auto"/>
              <w:jc w:val="center"/>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五个阶段含税包干总价及合计总价</w:t>
            </w:r>
          </w:p>
        </w:tc>
        <w:tc>
          <w:tcPr>
            <w:tcW w:w="2712" w:type="dxa"/>
            <w:tcBorders>
              <w:top w:val="single" w:color="auto" w:sz="4" w:space="0"/>
              <w:left w:val="single" w:color="auto" w:sz="4" w:space="0"/>
              <w:bottom w:val="single" w:color="auto" w:sz="4" w:space="0"/>
              <w:right w:val="single" w:color="auto" w:sz="4" w:space="0"/>
            </w:tcBorders>
            <w:vAlign w:val="center"/>
          </w:tcPr>
          <w:p w14:paraId="7A8B334A">
            <w:pPr>
              <w:spacing w:line="360" w:lineRule="auto"/>
              <w:jc w:val="center"/>
              <w:rPr>
                <w:rFonts w:hint="eastAsia" w:ascii="宋体" w:hAnsi="宋体" w:cs="宋体"/>
                <w:b/>
                <w:bCs/>
                <w:color w:val="auto"/>
                <w:sz w:val="21"/>
                <w:szCs w:val="21"/>
                <w:highlight w:val="none"/>
                <w:u w:val="single"/>
              </w:rPr>
            </w:pPr>
            <w:r>
              <w:rPr>
                <w:rFonts w:hint="eastAsia" w:ascii="宋体" w:hAnsi="宋体" w:cs="宋体"/>
                <w:color w:val="auto"/>
                <w:kern w:val="2"/>
                <w:sz w:val="21"/>
                <w:szCs w:val="21"/>
                <w:highlight w:val="none"/>
              </w:rPr>
              <w:t>第一阶段【　　】万元；第二阶段【　　】万元；第三阶段【　　】万元；第四阶段【　　】万元；第五阶段【　　】万元；合计总价【　　】万元</w:t>
            </w:r>
          </w:p>
        </w:tc>
        <w:tc>
          <w:tcPr>
            <w:tcW w:w="3231" w:type="dxa"/>
            <w:tcBorders>
              <w:top w:val="single" w:color="auto" w:sz="4" w:space="0"/>
              <w:left w:val="single" w:color="auto" w:sz="4" w:space="0"/>
              <w:bottom w:val="single" w:color="auto" w:sz="4" w:space="0"/>
              <w:right w:val="single" w:color="auto" w:sz="4" w:space="0"/>
            </w:tcBorders>
            <w:vAlign w:val="center"/>
          </w:tcPr>
          <w:p w14:paraId="493B8CED">
            <w:pPr>
              <w:spacing w:line="360" w:lineRule="exact"/>
              <w:jc w:val="center"/>
              <w:rPr>
                <w:rFonts w:hint="eastAsia" w:ascii="宋体" w:hAnsi="宋体" w:cs="宋体"/>
                <w:color w:val="auto"/>
                <w:sz w:val="21"/>
                <w:szCs w:val="21"/>
                <w:highlight w:val="none"/>
              </w:rPr>
            </w:pPr>
            <w:r>
              <w:rPr>
                <w:color w:val="auto"/>
                <w:highlight w:val="none"/>
              </w:rPr>
              <w:t>各阶段上限价分别为11.50/5.50/5.33/8.67/6.33万元，合计上限价37.33万元，供应商报价不得超过相应上限价，否则作否决处理</w:t>
            </w:r>
          </w:p>
        </w:tc>
      </w:tr>
      <w:tr w14:paraId="4FDFC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1365" w:type="dxa"/>
            <w:tcBorders>
              <w:top w:val="single" w:color="auto" w:sz="4" w:space="0"/>
              <w:left w:val="single" w:color="auto" w:sz="4" w:space="0"/>
              <w:bottom w:val="single" w:color="auto" w:sz="4" w:space="0"/>
              <w:right w:val="single" w:color="auto" w:sz="4" w:space="0"/>
            </w:tcBorders>
            <w:vAlign w:val="center"/>
          </w:tcPr>
          <w:p w14:paraId="14CCF0EE">
            <w:pPr>
              <w:spacing w:line="360" w:lineRule="auto"/>
              <w:jc w:val="center"/>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2</w:t>
            </w:r>
          </w:p>
        </w:tc>
        <w:tc>
          <w:tcPr>
            <w:tcW w:w="2142" w:type="dxa"/>
            <w:tcBorders>
              <w:top w:val="single" w:color="auto" w:sz="4" w:space="0"/>
              <w:left w:val="single" w:color="auto" w:sz="4" w:space="0"/>
              <w:bottom w:val="single" w:color="auto" w:sz="4" w:space="0"/>
              <w:right w:val="single" w:color="auto" w:sz="4" w:space="0"/>
            </w:tcBorders>
            <w:vAlign w:val="center"/>
          </w:tcPr>
          <w:p w14:paraId="15439761">
            <w:pPr>
              <w:spacing w:line="360" w:lineRule="auto"/>
              <w:jc w:val="center"/>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补充承诺</w:t>
            </w:r>
          </w:p>
        </w:tc>
        <w:tc>
          <w:tcPr>
            <w:tcW w:w="2712" w:type="dxa"/>
            <w:tcBorders>
              <w:top w:val="single" w:color="auto" w:sz="4" w:space="0"/>
              <w:left w:val="single" w:color="auto" w:sz="4" w:space="0"/>
              <w:bottom w:val="single" w:color="auto" w:sz="4" w:space="0"/>
              <w:right w:val="single" w:color="auto" w:sz="4" w:space="0"/>
            </w:tcBorders>
            <w:vAlign w:val="center"/>
          </w:tcPr>
          <w:p w14:paraId="5D133190">
            <w:pPr>
              <w:spacing w:line="360" w:lineRule="auto"/>
              <w:jc w:val="center"/>
              <w:rPr>
                <w:rFonts w:hint="eastAsia" w:ascii="宋体" w:hAnsi="宋体" w:cs="宋体"/>
                <w:b/>
                <w:bCs/>
                <w:color w:val="auto"/>
                <w:sz w:val="21"/>
                <w:szCs w:val="21"/>
                <w:highlight w:val="none"/>
                <w:u w:val="single"/>
              </w:rPr>
            </w:pPr>
          </w:p>
        </w:tc>
        <w:tc>
          <w:tcPr>
            <w:tcW w:w="3231" w:type="dxa"/>
            <w:tcBorders>
              <w:top w:val="single" w:color="auto" w:sz="4" w:space="0"/>
              <w:left w:val="single" w:color="auto" w:sz="4" w:space="0"/>
              <w:bottom w:val="single" w:color="auto" w:sz="4" w:space="0"/>
              <w:right w:val="single" w:color="auto" w:sz="4" w:space="0"/>
            </w:tcBorders>
            <w:vAlign w:val="center"/>
          </w:tcPr>
          <w:p w14:paraId="44614C89">
            <w:pPr>
              <w:spacing w:line="360" w:lineRule="exact"/>
              <w:jc w:val="both"/>
              <w:rPr>
                <w:rFonts w:hint="eastAsia" w:ascii="宋体" w:hAnsi="宋体" w:cs="宋体"/>
                <w:color w:val="auto"/>
                <w:sz w:val="21"/>
                <w:szCs w:val="21"/>
                <w:highlight w:val="none"/>
              </w:rPr>
            </w:pPr>
          </w:p>
          <w:p w14:paraId="63C1FAD6">
            <w:pPr>
              <w:spacing w:line="360" w:lineRule="exact"/>
              <w:jc w:val="both"/>
              <w:rPr>
                <w:rFonts w:hint="eastAsia" w:ascii="宋体" w:hAnsi="宋体" w:cs="宋体"/>
                <w:color w:val="auto"/>
                <w:sz w:val="21"/>
                <w:szCs w:val="21"/>
                <w:highlight w:val="none"/>
              </w:rPr>
            </w:pPr>
          </w:p>
          <w:p w14:paraId="23C0C021">
            <w:pPr>
              <w:spacing w:line="360" w:lineRule="exact"/>
              <w:jc w:val="both"/>
              <w:rPr>
                <w:rFonts w:hint="eastAsia" w:ascii="宋体" w:hAnsi="宋体" w:cs="宋体"/>
                <w:color w:val="auto"/>
                <w:sz w:val="21"/>
                <w:szCs w:val="21"/>
                <w:highlight w:val="none"/>
              </w:rPr>
            </w:pPr>
          </w:p>
          <w:p w14:paraId="34978A68">
            <w:pPr>
              <w:spacing w:line="360" w:lineRule="exact"/>
              <w:jc w:val="both"/>
              <w:rPr>
                <w:rFonts w:hint="eastAsia" w:ascii="宋体" w:hAnsi="宋体" w:cs="宋体"/>
                <w:color w:val="auto"/>
                <w:sz w:val="21"/>
                <w:szCs w:val="21"/>
                <w:highlight w:val="none"/>
              </w:rPr>
            </w:pPr>
          </w:p>
          <w:p w14:paraId="34A57825">
            <w:pPr>
              <w:spacing w:line="360" w:lineRule="exact"/>
              <w:jc w:val="both"/>
              <w:rPr>
                <w:rFonts w:hint="eastAsia" w:ascii="宋体" w:hAnsi="宋体" w:cs="宋体"/>
                <w:color w:val="auto"/>
                <w:sz w:val="21"/>
                <w:szCs w:val="21"/>
                <w:highlight w:val="none"/>
              </w:rPr>
            </w:pPr>
          </w:p>
          <w:p w14:paraId="4AFEFE67">
            <w:pPr>
              <w:spacing w:line="360" w:lineRule="exact"/>
              <w:jc w:val="both"/>
              <w:rPr>
                <w:rFonts w:hint="eastAsia" w:ascii="宋体" w:hAnsi="宋体" w:cs="宋体"/>
                <w:color w:val="auto"/>
                <w:sz w:val="21"/>
                <w:szCs w:val="21"/>
                <w:highlight w:val="none"/>
              </w:rPr>
            </w:pPr>
          </w:p>
          <w:p w14:paraId="3372A2E4">
            <w:pPr>
              <w:spacing w:line="360" w:lineRule="exact"/>
              <w:jc w:val="both"/>
              <w:rPr>
                <w:rFonts w:hint="eastAsia" w:ascii="宋体" w:hAnsi="宋体" w:cs="宋体"/>
                <w:color w:val="auto"/>
                <w:sz w:val="21"/>
                <w:szCs w:val="21"/>
                <w:highlight w:val="none"/>
              </w:rPr>
            </w:pPr>
          </w:p>
        </w:tc>
      </w:tr>
    </w:tbl>
    <w:p w14:paraId="56D9210C">
      <w:pPr>
        <w:pStyle w:val="21"/>
        <w:spacing w:line="360" w:lineRule="auto"/>
        <w:rPr>
          <w:rFonts w:hint="eastAsia" w:ascii="宋体" w:hAnsi="宋体"/>
          <w:color w:val="auto"/>
          <w:sz w:val="21"/>
          <w:szCs w:val="21"/>
          <w:highlight w:val="none"/>
        </w:rPr>
      </w:pPr>
    </w:p>
    <w:p w14:paraId="62D5AD03">
      <w:pPr>
        <w:pStyle w:val="21"/>
        <w:spacing w:line="360" w:lineRule="auto"/>
        <w:rPr>
          <w:rFonts w:hint="eastAsia" w:ascii="宋体" w:hAnsi="宋体"/>
          <w:color w:val="auto"/>
          <w:sz w:val="21"/>
          <w:szCs w:val="21"/>
          <w:highlight w:val="none"/>
        </w:rPr>
      </w:pPr>
    </w:p>
    <w:p w14:paraId="3A5B3C42">
      <w:pPr>
        <w:pStyle w:val="21"/>
        <w:spacing w:line="360" w:lineRule="auto"/>
        <w:rPr>
          <w:rFonts w:hint="eastAsia" w:ascii="宋体" w:hAnsi="宋体"/>
          <w:color w:val="auto"/>
          <w:sz w:val="21"/>
          <w:szCs w:val="21"/>
          <w:highlight w:val="none"/>
        </w:rPr>
      </w:pPr>
    </w:p>
    <w:p w14:paraId="59238698">
      <w:pPr>
        <w:pStyle w:val="21"/>
        <w:spacing w:line="360" w:lineRule="auto"/>
        <w:rPr>
          <w:rFonts w:hint="eastAsia" w:ascii="宋体" w:hAnsi="宋体"/>
          <w:color w:val="auto"/>
          <w:sz w:val="21"/>
          <w:szCs w:val="21"/>
          <w:highlight w:val="none"/>
        </w:rPr>
      </w:pPr>
      <w:r>
        <w:rPr>
          <w:rFonts w:hint="eastAsia" w:ascii="宋体" w:hAnsi="宋体"/>
          <w:color w:val="auto"/>
          <w:sz w:val="21"/>
          <w:szCs w:val="21"/>
          <w:highlight w:val="none"/>
        </w:rPr>
        <w:t xml:space="preserve">供应商（电子签章或盖章）：                               </w:t>
      </w:r>
    </w:p>
    <w:p w14:paraId="42EF4E29">
      <w:pPr>
        <w:pStyle w:val="21"/>
        <w:spacing w:line="360" w:lineRule="auto"/>
        <w:rPr>
          <w:rFonts w:hint="eastAsia" w:ascii="宋体" w:hAnsi="宋体"/>
          <w:color w:val="auto"/>
          <w:sz w:val="21"/>
          <w:szCs w:val="21"/>
          <w:highlight w:val="none"/>
        </w:rPr>
      </w:pPr>
      <w:r>
        <w:rPr>
          <w:rFonts w:hint="eastAsia" w:ascii="宋体" w:hAnsi="宋体"/>
          <w:color w:val="auto"/>
          <w:sz w:val="21"/>
          <w:szCs w:val="21"/>
          <w:highlight w:val="none"/>
        </w:rPr>
        <w:t>法 定 代 表 人或其委托代理人（签字或电子签章）：</w:t>
      </w:r>
      <w:r>
        <w:rPr>
          <w:rFonts w:ascii="宋体" w:hAnsi="宋体"/>
          <w:color w:val="auto"/>
          <w:sz w:val="21"/>
          <w:szCs w:val="21"/>
          <w:highlight w:val="none"/>
          <w:u w:val="single"/>
        </w:rPr>
        <w:t xml:space="preserve">                      </w:t>
      </w:r>
      <w:r>
        <w:rPr>
          <w:rFonts w:hint="eastAsia" w:ascii="宋体" w:hAnsi="宋体"/>
          <w:color w:val="auto"/>
          <w:sz w:val="21"/>
          <w:szCs w:val="21"/>
          <w:highlight w:val="none"/>
          <w:u w:val="single"/>
        </w:rPr>
        <w:t xml:space="preserve">         </w:t>
      </w:r>
    </w:p>
    <w:p w14:paraId="719645AC">
      <w:pPr>
        <w:rPr>
          <w:rFonts w:hint="eastAsia" w:ascii="宋体" w:hAnsi="宋体"/>
          <w:color w:val="auto"/>
          <w:sz w:val="21"/>
          <w:szCs w:val="21"/>
          <w:highlight w:val="none"/>
        </w:rPr>
      </w:pPr>
      <w:r>
        <w:rPr>
          <w:rFonts w:hint="eastAsia" w:ascii="宋体" w:hAnsi="宋体"/>
          <w:color w:val="auto"/>
          <w:sz w:val="21"/>
          <w:szCs w:val="21"/>
          <w:highlight w:val="none"/>
        </w:rPr>
        <w:t>日期：</w:t>
      </w:r>
      <w:r>
        <w:rPr>
          <w:rFonts w:ascii="宋体" w:hAnsi="宋体"/>
          <w:color w:val="auto"/>
          <w:sz w:val="21"/>
          <w:szCs w:val="21"/>
          <w:highlight w:val="none"/>
          <w:u w:val="single"/>
        </w:rPr>
        <w:t xml:space="preserve">          </w:t>
      </w:r>
      <w:r>
        <w:rPr>
          <w:rFonts w:ascii="宋体" w:hAnsi="宋体"/>
          <w:color w:val="auto"/>
          <w:sz w:val="21"/>
          <w:szCs w:val="21"/>
          <w:highlight w:val="none"/>
        </w:rPr>
        <w:t xml:space="preserve"> </w:t>
      </w:r>
      <w:r>
        <w:rPr>
          <w:rFonts w:hint="eastAsia" w:ascii="宋体" w:hAnsi="宋体"/>
          <w:color w:val="auto"/>
          <w:sz w:val="21"/>
          <w:szCs w:val="21"/>
          <w:highlight w:val="none"/>
        </w:rPr>
        <w:t>年</w:t>
      </w:r>
      <w:r>
        <w:rPr>
          <w:rFonts w:ascii="宋体" w:hAnsi="宋体"/>
          <w:color w:val="auto"/>
          <w:sz w:val="21"/>
          <w:szCs w:val="21"/>
          <w:highlight w:val="none"/>
        </w:rPr>
        <w:t xml:space="preserve"> </w:t>
      </w:r>
      <w:r>
        <w:rPr>
          <w:rFonts w:ascii="宋体" w:hAnsi="宋体"/>
          <w:color w:val="auto"/>
          <w:sz w:val="21"/>
          <w:szCs w:val="21"/>
          <w:highlight w:val="none"/>
          <w:u w:val="single"/>
        </w:rPr>
        <w:t xml:space="preserve">         </w:t>
      </w:r>
      <w:r>
        <w:rPr>
          <w:rFonts w:hint="eastAsia" w:ascii="宋体" w:hAnsi="宋体"/>
          <w:color w:val="auto"/>
          <w:sz w:val="21"/>
          <w:szCs w:val="21"/>
          <w:highlight w:val="none"/>
        </w:rPr>
        <w:t>月</w:t>
      </w:r>
      <w:r>
        <w:rPr>
          <w:rFonts w:ascii="宋体" w:hAnsi="宋体"/>
          <w:color w:val="auto"/>
          <w:sz w:val="21"/>
          <w:szCs w:val="21"/>
          <w:highlight w:val="none"/>
        </w:rPr>
        <w:t xml:space="preserve"> </w:t>
      </w:r>
      <w:r>
        <w:rPr>
          <w:rFonts w:ascii="宋体" w:hAnsi="宋体"/>
          <w:color w:val="auto"/>
          <w:sz w:val="21"/>
          <w:szCs w:val="21"/>
          <w:highlight w:val="none"/>
          <w:u w:val="single"/>
        </w:rPr>
        <w:t xml:space="preserve">        </w:t>
      </w:r>
      <w:r>
        <w:rPr>
          <w:rFonts w:hint="eastAsia" w:ascii="宋体" w:hAnsi="宋体"/>
          <w:color w:val="auto"/>
          <w:sz w:val="21"/>
          <w:szCs w:val="21"/>
          <w:highlight w:val="none"/>
        </w:rPr>
        <w:t>日</w:t>
      </w:r>
    </w:p>
    <w:p w14:paraId="49435216">
      <w:pPr>
        <w:rPr>
          <w:rFonts w:hint="eastAsia" w:ascii="宋体" w:hAnsi="宋体"/>
          <w:color w:val="auto"/>
          <w:sz w:val="21"/>
          <w:szCs w:val="21"/>
          <w:highlight w:val="none"/>
        </w:rPr>
      </w:pPr>
    </w:p>
    <w:p w14:paraId="14511BFB">
      <w:pPr>
        <w:rPr>
          <w:rFonts w:hint="eastAsia" w:ascii="宋体" w:hAnsi="宋体"/>
          <w:color w:val="auto"/>
          <w:sz w:val="21"/>
          <w:szCs w:val="21"/>
          <w:highlight w:val="none"/>
        </w:rPr>
      </w:pPr>
    </w:p>
    <w:p w14:paraId="2CFBBBF7">
      <w:pPr>
        <w:rPr>
          <w:rFonts w:hint="eastAsia" w:ascii="宋体" w:hAnsi="宋体"/>
          <w:color w:val="auto"/>
          <w:sz w:val="21"/>
          <w:szCs w:val="21"/>
          <w:highlight w:val="none"/>
        </w:rPr>
      </w:pPr>
      <w:r>
        <w:rPr>
          <w:rFonts w:hint="eastAsia" w:ascii="宋体" w:hAnsi="宋体"/>
          <w:color w:val="auto"/>
          <w:sz w:val="21"/>
          <w:szCs w:val="21"/>
          <w:highlight w:val="none"/>
          <w:lang w:val="en-US" w:eastAsia="zh-CN"/>
        </w:rPr>
        <w:t>注：此表为评标发起二次报价流程时的附件内容，提交响应文件时无需填写该表。</w:t>
      </w:r>
      <w:r>
        <w:rPr>
          <w:rFonts w:hint="eastAsia" w:ascii="宋体" w:hAnsi="宋体"/>
          <w:color w:val="auto"/>
          <w:sz w:val="21"/>
          <w:szCs w:val="21"/>
          <w:highlight w:val="none"/>
        </w:rPr>
        <w:br w:type="page"/>
      </w:r>
    </w:p>
    <w:p w14:paraId="5066BC89">
      <w:pPr>
        <w:rPr>
          <w:color w:val="auto"/>
          <w:highlight w:val="none"/>
        </w:rPr>
      </w:pPr>
    </w:p>
    <w:p w14:paraId="105BAA64">
      <w:pPr>
        <w:pStyle w:val="3"/>
        <w:spacing w:line="360" w:lineRule="auto"/>
        <w:jc w:val="center"/>
        <w:rPr>
          <w:rFonts w:ascii="Times New Roman" w:hAnsi="Times New Roman"/>
          <w:color w:val="auto"/>
          <w:sz w:val="30"/>
          <w:szCs w:val="30"/>
          <w:highlight w:val="none"/>
        </w:rPr>
      </w:pPr>
      <w:bookmarkStart w:id="154" w:name="_Toc243176608"/>
      <w:r>
        <w:rPr>
          <w:rFonts w:ascii="Times New Roman" w:hAnsi="Times New Roman"/>
          <w:color w:val="auto"/>
          <w:sz w:val="30"/>
          <w:szCs w:val="30"/>
          <w:highlight w:val="none"/>
        </w:rPr>
        <w:t>（三）磋商报价说明</w:t>
      </w:r>
      <w:bookmarkEnd w:id="154"/>
    </w:p>
    <w:p w14:paraId="27A470E8">
      <w:pPr>
        <w:rPr>
          <w:color w:val="auto"/>
          <w:highlight w:val="none"/>
        </w:rPr>
      </w:pPr>
      <w:r>
        <w:rPr>
          <w:color w:val="auto"/>
          <w:highlight w:val="none"/>
        </w:rPr>
        <w:t>1、磋商的报价及合同所有款项的支付均以人民币计算。</w:t>
      </w:r>
    </w:p>
    <w:p w14:paraId="6A8C3F0F">
      <w:pPr>
        <w:rPr>
          <w:color w:val="auto"/>
          <w:highlight w:val="none"/>
        </w:rPr>
      </w:pPr>
      <w:r>
        <w:rPr>
          <w:color w:val="auto"/>
          <w:highlight w:val="none"/>
        </w:rPr>
        <w:t>2、供应商需要说明的事项，用文字书写与报价表一并报送。</w:t>
      </w:r>
    </w:p>
    <w:p w14:paraId="215C06EE">
      <w:pPr>
        <w:rPr>
          <w:color w:val="auto"/>
          <w:highlight w:val="none"/>
        </w:rPr>
      </w:pPr>
      <w:r>
        <w:rPr>
          <w:color w:val="auto"/>
          <w:highlight w:val="none"/>
        </w:rPr>
        <w:br w:type="page"/>
      </w:r>
    </w:p>
    <w:p w14:paraId="6282A230">
      <w:pPr>
        <w:rPr>
          <w:color w:val="auto"/>
          <w:highlight w:val="none"/>
        </w:rPr>
      </w:pPr>
    </w:p>
    <w:p w14:paraId="48950173">
      <w:pPr>
        <w:pStyle w:val="3"/>
        <w:spacing w:line="360" w:lineRule="auto"/>
        <w:jc w:val="center"/>
        <w:rPr>
          <w:color w:val="auto"/>
          <w:highlight w:val="none"/>
        </w:rPr>
      </w:pPr>
      <w:bookmarkStart w:id="155" w:name="_Toc243176609"/>
      <w:r>
        <w:rPr>
          <w:color w:val="auto"/>
          <w:highlight w:val="none"/>
        </w:rPr>
        <w:t>三、技术部分格式</w:t>
      </w:r>
      <w:bookmarkEnd w:id="155"/>
    </w:p>
    <w:p w14:paraId="176575D7">
      <w:pPr>
        <w:pStyle w:val="3"/>
        <w:spacing w:line="360" w:lineRule="auto"/>
        <w:jc w:val="center"/>
        <w:rPr>
          <w:rFonts w:ascii="Times New Roman" w:hAnsi="Times New Roman"/>
          <w:color w:val="auto"/>
          <w:sz w:val="30"/>
          <w:szCs w:val="30"/>
          <w:highlight w:val="none"/>
        </w:rPr>
      </w:pPr>
      <w:bookmarkStart w:id="156" w:name="_Toc243176610"/>
      <w:r>
        <w:rPr>
          <w:rFonts w:ascii="Times New Roman" w:hAnsi="Times New Roman"/>
          <w:color w:val="auto"/>
          <w:sz w:val="30"/>
          <w:szCs w:val="30"/>
          <w:highlight w:val="none"/>
        </w:rPr>
        <w:t>（一）专项法律服务方案及对项目的理解</w:t>
      </w:r>
      <w:bookmarkEnd w:id="156"/>
    </w:p>
    <w:p w14:paraId="2A668383">
      <w:pPr>
        <w:rPr>
          <w:color w:val="auto"/>
          <w:highlight w:val="none"/>
        </w:rPr>
      </w:pPr>
      <w:r>
        <w:rPr>
          <w:color w:val="auto"/>
          <w:highlight w:val="none"/>
        </w:rPr>
        <w:t>格式自行考虑。</w:t>
      </w:r>
    </w:p>
    <w:p w14:paraId="39CFFA3A">
      <w:pPr>
        <w:pStyle w:val="3"/>
        <w:spacing w:line="360" w:lineRule="auto"/>
        <w:jc w:val="center"/>
        <w:rPr>
          <w:rFonts w:ascii="Times New Roman" w:hAnsi="Times New Roman"/>
          <w:color w:val="auto"/>
          <w:sz w:val="30"/>
          <w:szCs w:val="30"/>
          <w:highlight w:val="none"/>
        </w:rPr>
      </w:pPr>
      <w:bookmarkStart w:id="157" w:name="_Toc243176611"/>
      <w:r>
        <w:rPr>
          <w:rFonts w:ascii="Times New Roman" w:hAnsi="Times New Roman"/>
          <w:color w:val="auto"/>
          <w:sz w:val="30"/>
          <w:szCs w:val="30"/>
          <w:highlight w:val="none"/>
        </w:rPr>
        <w:t>（二）分阶段工作实施进度计划及承诺</w:t>
      </w:r>
      <w:bookmarkEnd w:id="157"/>
    </w:p>
    <w:p w14:paraId="7ABF6167">
      <w:pPr>
        <w:rPr>
          <w:color w:val="auto"/>
          <w:highlight w:val="none"/>
        </w:rPr>
      </w:pPr>
      <w:r>
        <w:rPr>
          <w:color w:val="auto"/>
          <w:highlight w:val="none"/>
        </w:rPr>
        <w:t>格式自行考虑。</w:t>
      </w:r>
    </w:p>
    <w:p w14:paraId="1B08A08F">
      <w:pPr>
        <w:pStyle w:val="3"/>
        <w:spacing w:line="360" w:lineRule="auto"/>
        <w:jc w:val="center"/>
        <w:rPr>
          <w:rFonts w:ascii="Times New Roman" w:hAnsi="Times New Roman"/>
          <w:color w:val="auto"/>
          <w:sz w:val="30"/>
          <w:szCs w:val="30"/>
          <w:highlight w:val="none"/>
        </w:rPr>
      </w:pPr>
      <w:bookmarkStart w:id="158" w:name="_Toc243176612"/>
      <w:r>
        <w:rPr>
          <w:rFonts w:ascii="Times New Roman" w:hAnsi="Times New Roman"/>
          <w:color w:val="auto"/>
          <w:sz w:val="30"/>
          <w:szCs w:val="30"/>
          <w:highlight w:val="none"/>
        </w:rPr>
        <w:t>（三）质量保证措施及承诺</w:t>
      </w:r>
      <w:bookmarkEnd w:id="158"/>
    </w:p>
    <w:p w14:paraId="35045668">
      <w:pPr>
        <w:rPr>
          <w:color w:val="auto"/>
          <w:highlight w:val="none"/>
        </w:rPr>
      </w:pPr>
      <w:r>
        <w:rPr>
          <w:color w:val="auto"/>
          <w:highlight w:val="none"/>
        </w:rPr>
        <w:t>格式自行考虑。</w:t>
      </w:r>
    </w:p>
    <w:p w14:paraId="0273A010">
      <w:pPr>
        <w:pStyle w:val="3"/>
        <w:spacing w:line="360" w:lineRule="auto"/>
        <w:jc w:val="center"/>
        <w:rPr>
          <w:rFonts w:ascii="Times New Roman" w:hAnsi="Times New Roman"/>
          <w:color w:val="auto"/>
          <w:sz w:val="30"/>
          <w:szCs w:val="30"/>
          <w:highlight w:val="none"/>
        </w:rPr>
      </w:pPr>
      <w:bookmarkStart w:id="159" w:name="_Toc243176613"/>
      <w:r>
        <w:rPr>
          <w:rFonts w:ascii="Times New Roman" w:hAnsi="Times New Roman"/>
          <w:color w:val="auto"/>
          <w:sz w:val="30"/>
          <w:szCs w:val="30"/>
          <w:highlight w:val="none"/>
        </w:rPr>
        <w:t>（四）后续服务工作安排及承诺</w:t>
      </w:r>
      <w:bookmarkEnd w:id="159"/>
    </w:p>
    <w:p w14:paraId="28D035D8">
      <w:pPr>
        <w:rPr>
          <w:color w:val="auto"/>
          <w:highlight w:val="none"/>
        </w:rPr>
      </w:pPr>
      <w:r>
        <w:rPr>
          <w:color w:val="auto"/>
          <w:highlight w:val="none"/>
        </w:rPr>
        <w:t>格式自行考虑。</w:t>
      </w:r>
    </w:p>
    <w:p w14:paraId="56AE6381">
      <w:pPr>
        <w:pStyle w:val="3"/>
        <w:spacing w:line="360" w:lineRule="auto"/>
        <w:jc w:val="center"/>
        <w:rPr>
          <w:rFonts w:ascii="Times New Roman" w:hAnsi="Times New Roman"/>
          <w:color w:val="auto"/>
          <w:sz w:val="30"/>
          <w:szCs w:val="30"/>
          <w:highlight w:val="none"/>
        </w:rPr>
      </w:pPr>
      <w:bookmarkStart w:id="160" w:name="_Toc243176614"/>
      <w:r>
        <w:rPr>
          <w:rFonts w:ascii="Times New Roman" w:hAnsi="Times New Roman"/>
          <w:color w:val="auto"/>
          <w:sz w:val="30"/>
          <w:szCs w:val="30"/>
          <w:highlight w:val="none"/>
        </w:rPr>
        <w:t>（五）拟派项目组人员配置</w:t>
      </w:r>
      <w:bookmarkEnd w:id="160"/>
    </w:p>
    <w:p w14:paraId="7B2C3A01">
      <w:pPr>
        <w:rPr>
          <w:color w:val="auto"/>
          <w:highlight w:val="none"/>
        </w:rPr>
      </w:pPr>
      <w:r>
        <w:rPr>
          <w:color w:val="auto"/>
          <w:highlight w:val="none"/>
        </w:rPr>
        <w:t>格式自行考虑。</w:t>
      </w:r>
    </w:p>
    <w:p w14:paraId="6ABA3903">
      <w:pPr>
        <w:pStyle w:val="3"/>
        <w:spacing w:line="360" w:lineRule="auto"/>
        <w:jc w:val="center"/>
        <w:rPr>
          <w:rFonts w:ascii="Times New Roman" w:hAnsi="Times New Roman"/>
          <w:color w:val="auto"/>
          <w:sz w:val="30"/>
          <w:szCs w:val="30"/>
          <w:highlight w:val="none"/>
        </w:rPr>
      </w:pPr>
      <w:bookmarkStart w:id="161" w:name="_Toc243176615"/>
      <w:r>
        <w:rPr>
          <w:rFonts w:ascii="Times New Roman" w:hAnsi="Times New Roman"/>
          <w:color w:val="auto"/>
          <w:sz w:val="30"/>
          <w:szCs w:val="30"/>
          <w:highlight w:val="none"/>
        </w:rPr>
        <w:t>（六）项目风险预测与防范措施</w:t>
      </w:r>
      <w:bookmarkEnd w:id="161"/>
    </w:p>
    <w:p w14:paraId="052A23A7">
      <w:pPr>
        <w:rPr>
          <w:color w:val="auto"/>
          <w:highlight w:val="none"/>
        </w:rPr>
      </w:pPr>
      <w:r>
        <w:rPr>
          <w:color w:val="auto"/>
          <w:highlight w:val="none"/>
        </w:rPr>
        <w:t>格式自行考虑。</w:t>
      </w:r>
    </w:p>
    <w:p w14:paraId="3CA65EF0">
      <w:pPr>
        <w:pStyle w:val="3"/>
        <w:spacing w:line="360" w:lineRule="auto"/>
        <w:jc w:val="center"/>
        <w:rPr>
          <w:rFonts w:hint="eastAsia" w:ascii="黑体" w:hAnsi="黑体"/>
          <w:bCs w:val="0"/>
          <w:color w:val="auto"/>
          <w:sz w:val="28"/>
          <w:szCs w:val="28"/>
          <w:highlight w:val="none"/>
        </w:rPr>
      </w:pPr>
      <w:bookmarkStart w:id="162" w:name="_Toc242425771"/>
      <w:bookmarkStart w:id="163" w:name="_Toc243176616"/>
      <w:bookmarkStart w:id="164" w:name="_Toc240288697"/>
      <w:r>
        <w:rPr>
          <w:rFonts w:hint="eastAsia" w:ascii="Times New Roman" w:hAnsi="Times New Roman"/>
          <w:color w:val="auto"/>
          <w:sz w:val="30"/>
          <w:szCs w:val="30"/>
          <w:highlight w:val="none"/>
        </w:rPr>
        <w:t>（七）供应商认为有必要提供的其他资料</w:t>
      </w:r>
      <w:bookmarkEnd w:id="162"/>
      <w:bookmarkEnd w:id="163"/>
      <w:bookmarkEnd w:id="164"/>
    </w:p>
    <w:p w14:paraId="5594E98A">
      <w:pPr>
        <w:rPr>
          <w:color w:val="auto"/>
          <w:highlight w:val="none"/>
        </w:rPr>
      </w:pPr>
      <w:r>
        <w:rPr>
          <w:color w:val="auto"/>
          <w:highlight w:val="none"/>
        </w:rPr>
        <w:t>格式自行考虑。</w:t>
      </w:r>
    </w:p>
    <w:sectPr>
      <w:headerReference r:id="rId4" w:type="first"/>
      <w:headerReference r:id="rId3" w:type="default"/>
      <w:footerReference r:id="rId5" w:type="default"/>
      <w:pgSz w:w="11906" w:h="16838"/>
      <w:pgMar w:top="1304" w:right="1247" w:bottom="1304" w:left="1247"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_x000B__x000C_">
    <w:altName w:val="Times New Roman"/>
    <w:panose1 w:val="00000000000000000000"/>
    <w:charset w:val="00"/>
    <w:family w:val="roman"/>
    <w:pitch w:val="default"/>
    <w:sig w:usb0="00000000" w:usb1="00000000" w:usb2="00000000" w:usb3="00000000" w:csb0="00040001" w:csb1="00000000"/>
  </w:font>
  <w:font w:name="文鼎报宋">
    <w:altName w:val="宋体"/>
    <w:panose1 w:val="00000000000000000000"/>
    <w:charset w:val="86"/>
    <w:family w:val="roman"/>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_GB2312">
    <w:altName w:val="Times New Roman"/>
    <w:panose1 w:val="00000000000000000000"/>
    <w:charset w:val="00"/>
    <w:family w:val="swiss"/>
    <w:pitch w:val="default"/>
    <w:sig w:usb0="00000000" w:usb1="00000000" w:usb2="00000000" w:usb3="00000000" w:csb0="00000001" w:csb1="00000000"/>
  </w:font>
  <w:font w:name="全真中明體">
    <w:altName w:val="MingLiU-ExtB"/>
    <w:panose1 w:val="00000000000000000000"/>
    <w:charset w:val="88"/>
    <w:family w:val="moder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7F" w:usb3="00000000" w:csb0="003F01FF" w:csb1="00000000"/>
  </w:font>
  <w:font w:name="华文细黑">
    <w:panose1 w:val="02010600040101010101"/>
    <w:charset w:val="86"/>
    <w:family w:val="auto"/>
    <w:pitch w:val="default"/>
    <w:sig w:usb0="00000287" w:usb1="080F0000" w:usb2="00000000" w:usb3="00000000" w:csb0="0004009F" w:csb1="DFD7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ヒラギノ角ゴ Pro W3">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
    <w:altName w:val="Times New Roman"/>
    <w:panose1 w:val="00000000000000000000"/>
    <w:charset w:val="00"/>
    <w:family w:val="auto"/>
    <w:pitch w:val="default"/>
    <w:sig w:usb0="00000000" w:usb1="00000000" w:usb2="00000000" w:usb3="00000000" w:csb0="00000001" w:csb1="00000000"/>
  </w:font>
  <w:font w:name="方正宋一简体">
    <w:altName w:val="黑体"/>
    <w:panose1 w:val="00000000000000000000"/>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0E3F2">
    <w:pPr>
      <w:pStyle w:val="33"/>
      <w:tabs>
        <w:tab w:val="left" w:pos="1764"/>
        <w:tab w:val="center" w:pos="4819"/>
      </w:tabs>
      <w:spacing w:line="360" w:lineRule="auto"/>
    </w:pPr>
    <w:r>
      <w:drawing>
        <wp:anchor distT="0" distB="0" distL="114300" distR="114300" simplePos="0" relativeHeight="251659264" behindDoc="0" locked="0" layoutInCell="1" allowOverlap="1">
          <wp:simplePos x="0" y="0"/>
          <wp:positionH relativeFrom="margin">
            <wp:posOffset>3959860</wp:posOffset>
          </wp:positionH>
          <wp:positionV relativeFrom="margin">
            <wp:posOffset>9302115</wp:posOffset>
          </wp:positionV>
          <wp:extent cx="2381250" cy="285750"/>
          <wp:effectExtent l="0" t="0" r="0" b="0"/>
          <wp:wrapSquare wrapText="bothSides"/>
          <wp:docPr id="4097" name="图片 1025"/>
          <wp:cNvGraphicFramePr/>
          <a:graphic xmlns:a="http://schemas.openxmlformats.org/drawingml/2006/main">
            <a:graphicData uri="http://schemas.openxmlformats.org/drawingml/2006/picture">
              <pic:pic xmlns:pic="http://schemas.openxmlformats.org/drawingml/2006/picture">
                <pic:nvPicPr>
                  <pic:cNvPr id="4097" name="图片 1025"/>
                  <pic:cNvPicPr/>
                </pic:nvPicPr>
                <pic:blipFill>
                  <a:blip r:embed="rId1" cstate="print"/>
                  <a:srcRect/>
                  <a:stretch>
                    <a:fillRect/>
                  </a:stretch>
                </pic:blipFill>
                <pic:spPr>
                  <a:xfrm>
                    <a:off x="0" y="0"/>
                    <a:ext cx="2381250" cy="285750"/>
                  </a:xfrm>
                  <a:prstGeom prst="rect">
                    <a:avLst/>
                  </a:prstGeom>
                </pic:spPr>
              </pic:pic>
            </a:graphicData>
          </a:graphic>
        </wp:anchor>
      </w:drawing>
    </w:r>
    <w:r>
      <mc:AlternateContent>
        <mc:Choice Requires="wps">
          <w:drawing>
            <wp:anchor distT="0" distB="0" distL="0" distR="0" simplePos="0" relativeHeight="251659264" behindDoc="0" locked="0" layoutInCell="1" allowOverlap="1">
              <wp:simplePos x="0" y="0"/>
              <wp:positionH relativeFrom="column">
                <wp:posOffset>45085</wp:posOffset>
              </wp:positionH>
              <wp:positionV relativeFrom="paragraph">
                <wp:posOffset>151765</wp:posOffset>
              </wp:positionV>
              <wp:extent cx="6077585" cy="0"/>
              <wp:effectExtent l="6985" t="8890" r="11430" b="10160"/>
              <wp:wrapNone/>
              <wp:docPr id="4098" name="直线 1026"/>
              <wp:cNvGraphicFramePr/>
              <a:graphic xmlns:a="http://schemas.openxmlformats.org/drawingml/2006/main">
                <a:graphicData uri="http://schemas.microsoft.com/office/word/2010/wordprocessingShape">
                  <wps:wsp>
                    <wps:cNvCnPr/>
                    <wps:spPr>
                      <a:xfrm>
                        <a:off x="0" y="0"/>
                        <a:ext cx="6077585" cy="0"/>
                      </a:xfrm>
                      <a:prstGeom prst="line">
                        <a:avLst/>
                      </a:prstGeom>
                      <a:ln w="9525" cap="flat" cmpd="sng">
                        <a:solidFill>
                          <a:srgbClr val="000000"/>
                        </a:solidFill>
                        <a:prstDash val="solid"/>
                        <a:round/>
                      </a:ln>
                    </wps:spPr>
                    <wps:bodyPr/>
                  </wps:wsp>
                </a:graphicData>
              </a:graphic>
            </wp:anchor>
          </w:drawing>
        </mc:Choice>
        <mc:Fallback>
          <w:pict>
            <v:line id="直线 1026" o:spid="_x0000_s1026" o:spt="20" style="position:absolute;left:0pt;margin-left:3.55pt;margin-top:11.95pt;height:0pt;width:478.55pt;z-index:251659264;mso-width-relative:page;mso-height-relative:page;" filled="f" stroked="t" coordsize="21600,21600" o:gfxdata="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wX3/dQAAAAHAQAADwAAAAAAAAABACAAAAAiAAAAZHJzL2Rvd25y&#10;ZXYueG1sUEsBAhQAFAAAAAgAh07iQBXMQJrJAQAAiwMAAA4AAAAAAAAAAQAgAAAAIwEAAGRycy9l&#10;Mm9Eb2MueG1sUEsFBgAAAAAGAAYAWQEAAF4FAAAAAA==&#10;">
              <v:fill on="f" focussize="0,0"/>
              <v:stroke color="#000000" joinstyle="round"/>
              <v:imagedata o:title=""/>
              <o:lock v:ext="edit" aspectratio="f"/>
            </v:line>
          </w:pict>
        </mc:Fallback>
      </mc:AlternateContent>
    </w:r>
    <w:r>
      <w:tab/>
    </w:r>
    <w:r>
      <w:tab/>
    </w:r>
    <w:r>
      <w:tab/>
    </w:r>
    <w:r>
      <w:t>-</w:t>
    </w:r>
    <w:r>
      <w:fldChar w:fldCharType="begin"/>
    </w:r>
    <w:r>
      <w:rPr>
        <w:rStyle w:val="57"/>
      </w:rPr>
      <w:instrText xml:space="preserve"> PAGE </w:instrText>
    </w:r>
    <w:r>
      <w:fldChar w:fldCharType="separate"/>
    </w:r>
    <w:r>
      <w:rPr>
        <w:rStyle w:val="57"/>
      </w:rPr>
      <w:t>10</w:t>
    </w:r>
    <w:r>
      <w:fldChar w:fldCharType="end"/>
    </w:r>
    <w:r>
      <w:t>-</w:t>
    </w:r>
  </w:p>
  <w:p w14:paraId="69D58C82"/>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D9D4B">
    <w:pPr>
      <w:spacing w:line="360" w:lineRule="auto"/>
      <w:rPr>
        <w:rFonts w:hint="eastAsia" w:ascii="宋体" w:hAnsi="宋体"/>
        <w:sz w:val="21"/>
        <w:szCs w:val="21"/>
        <w:u w:val="single"/>
      </w:rPr>
    </w:pPr>
    <w:r>
      <w:rPr>
        <w:rFonts w:hint="eastAsia" w:ascii="宋体" w:hAnsi="宋体"/>
        <w:sz w:val="18"/>
        <w:u w:val="single"/>
        <w:lang w:eastAsia="zh-CN"/>
      </w:rPr>
      <w:t>云南民族村整体改造及运营提升专项法律服务项目</w:t>
    </w:r>
    <w:r>
      <w:rPr>
        <w:rFonts w:ascii="宋体" w:hAnsi="宋体"/>
        <w:sz w:val="18"/>
        <w:u w:val="single"/>
      </w:rPr>
      <w:t xml:space="preserve">   </w:t>
    </w:r>
    <w:r>
      <w:rPr>
        <w:rFonts w:hint="eastAsia" w:ascii="宋体" w:hAnsi="宋体"/>
        <w:sz w:val="18"/>
        <w:u w:val="single"/>
      </w:rPr>
      <w:t xml:space="preserve">       </w:t>
    </w:r>
    <w:r>
      <w:rPr>
        <w:rFonts w:hint="eastAsia" w:ascii="宋体" w:hAnsi="宋体"/>
        <w:sz w:val="18"/>
        <w:u w:val="single"/>
        <w:lang w:val="en-US" w:eastAsia="zh-CN"/>
      </w:rPr>
      <w:t xml:space="preserve">                          </w:t>
    </w:r>
    <w:r>
      <w:rPr>
        <w:rFonts w:hint="eastAsia" w:ascii="宋体" w:hAnsi="宋体"/>
        <w:sz w:val="18"/>
        <w:u w:val="single"/>
      </w:rPr>
      <w:t xml:space="preserve">        </w:t>
    </w:r>
    <w:r>
      <w:rPr>
        <w:rFonts w:ascii="宋体" w:hAnsi="宋体"/>
        <w:sz w:val="18"/>
        <w:u w:val="single"/>
      </w:rPr>
      <w:t xml:space="preserve">  竞争性磋商文件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6556F">
    <w:pPr>
      <w:pStyle w:val="34"/>
      <w:jc w:val="left"/>
      <w:rPr>
        <w:rFonts w:hint="eastAsia" w:ascii="宋体" w:hAnsi="宋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bullet"/>
      <w:pStyle w:val="635"/>
      <w:lvlText w:val=""/>
      <w:lvlJc w:val="left"/>
      <w:pPr>
        <w:ind w:left="691" w:hanging="420"/>
      </w:pPr>
      <w:rPr>
        <w:rFonts w:hint="default" w:ascii="Wingdings" w:hAnsi="Wingdings"/>
      </w:rPr>
    </w:lvl>
    <w:lvl w:ilvl="1" w:tentative="0">
      <w:start w:val="1"/>
      <w:numFmt w:val="bullet"/>
      <w:lvlText w:val=""/>
      <w:lvlJc w:val="left"/>
      <w:pPr>
        <w:ind w:left="1111" w:hanging="420"/>
      </w:pPr>
      <w:rPr>
        <w:rFonts w:hint="default" w:ascii="Wingdings" w:hAnsi="Wingdings"/>
      </w:rPr>
    </w:lvl>
    <w:lvl w:ilvl="2" w:tentative="0">
      <w:start w:val="1"/>
      <w:numFmt w:val="bullet"/>
      <w:pStyle w:val="654"/>
      <w:lvlText w:val=""/>
      <w:lvlJc w:val="left"/>
      <w:pPr>
        <w:ind w:left="1531" w:hanging="420"/>
      </w:pPr>
      <w:rPr>
        <w:rFonts w:hint="default" w:ascii="Wingdings" w:hAnsi="Wingdings"/>
      </w:rPr>
    </w:lvl>
    <w:lvl w:ilvl="3" w:tentative="0">
      <w:start w:val="1"/>
      <w:numFmt w:val="bullet"/>
      <w:lvlText w:val=""/>
      <w:lvlJc w:val="left"/>
      <w:pPr>
        <w:ind w:left="1951" w:hanging="420"/>
      </w:pPr>
      <w:rPr>
        <w:rFonts w:hint="default" w:ascii="Wingdings" w:hAnsi="Wingdings"/>
      </w:rPr>
    </w:lvl>
    <w:lvl w:ilvl="4" w:tentative="0">
      <w:start w:val="1"/>
      <w:numFmt w:val="bullet"/>
      <w:lvlText w:val=""/>
      <w:lvlJc w:val="left"/>
      <w:pPr>
        <w:ind w:left="2371" w:hanging="420"/>
      </w:pPr>
      <w:rPr>
        <w:rFonts w:hint="default" w:ascii="Wingdings" w:hAnsi="Wingdings"/>
      </w:rPr>
    </w:lvl>
    <w:lvl w:ilvl="5" w:tentative="0">
      <w:start w:val="1"/>
      <w:numFmt w:val="bullet"/>
      <w:lvlText w:val=""/>
      <w:lvlJc w:val="left"/>
      <w:pPr>
        <w:ind w:left="2791" w:hanging="420"/>
      </w:pPr>
      <w:rPr>
        <w:rFonts w:hint="default" w:ascii="Wingdings" w:hAnsi="Wingdings"/>
      </w:rPr>
    </w:lvl>
    <w:lvl w:ilvl="6" w:tentative="0">
      <w:start w:val="1"/>
      <w:numFmt w:val="bullet"/>
      <w:lvlText w:val=""/>
      <w:lvlJc w:val="left"/>
      <w:pPr>
        <w:ind w:left="3211" w:hanging="420"/>
      </w:pPr>
      <w:rPr>
        <w:rFonts w:hint="default" w:ascii="Wingdings" w:hAnsi="Wingdings"/>
      </w:rPr>
    </w:lvl>
    <w:lvl w:ilvl="7" w:tentative="0">
      <w:start w:val="1"/>
      <w:numFmt w:val="bullet"/>
      <w:lvlText w:val=""/>
      <w:lvlJc w:val="left"/>
      <w:pPr>
        <w:ind w:left="3631" w:hanging="420"/>
      </w:pPr>
      <w:rPr>
        <w:rFonts w:hint="default" w:ascii="Wingdings" w:hAnsi="Wingdings"/>
      </w:rPr>
    </w:lvl>
    <w:lvl w:ilvl="8" w:tentative="0">
      <w:start w:val="1"/>
      <w:numFmt w:val="bullet"/>
      <w:lvlText w:val=""/>
      <w:lvlJc w:val="left"/>
      <w:pPr>
        <w:ind w:left="4051" w:hanging="420"/>
      </w:pPr>
      <w:rPr>
        <w:rFonts w:hint="default" w:ascii="Wingdings" w:hAnsi="Wingdings"/>
      </w:rPr>
    </w:lvl>
  </w:abstractNum>
  <w:abstractNum w:abstractNumId="1">
    <w:nsid w:val="00000002"/>
    <w:multiLevelType w:val="singleLevel"/>
    <w:tmpl w:val="00000002"/>
    <w:lvl w:ilvl="0" w:tentative="0">
      <w:start w:val="1"/>
      <w:numFmt w:val="decimal"/>
      <w:suff w:val="nothing"/>
      <w:lvlText w:val="%1、"/>
      <w:lvlJc w:val="left"/>
    </w:lvl>
  </w:abstractNum>
  <w:abstractNum w:abstractNumId="2">
    <w:nsid w:val="00000003"/>
    <w:multiLevelType w:val="singleLevel"/>
    <w:tmpl w:val="00000003"/>
    <w:lvl w:ilvl="0" w:tentative="0">
      <w:start w:val="1"/>
      <w:numFmt w:val="decimal"/>
      <w:pStyle w:val="399"/>
      <w:suff w:val="nothing"/>
      <w:lvlText w:val="%1、"/>
      <w:lvlJc w:val="left"/>
    </w:lvl>
  </w:abstractNum>
  <w:abstractNum w:abstractNumId="3">
    <w:nsid w:val="00000004"/>
    <w:multiLevelType w:val="multilevel"/>
    <w:tmpl w:val="00000004"/>
    <w:lvl w:ilvl="0" w:tentative="0">
      <w:start w:val="1"/>
      <w:numFmt w:val="none"/>
      <w:pStyle w:val="16"/>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4">
    <w:nsid w:val="0053208E"/>
    <w:multiLevelType w:val="multilevel"/>
    <w:tmpl w:val="0053208E"/>
    <w:lvl w:ilvl="0" w:tentative="0">
      <w:start w:val="1"/>
      <w:numFmt w:val="decimal"/>
      <w:pStyle w:val="555"/>
      <w:lvlText w:val="（%1）"/>
      <w:lvlJc w:val="left"/>
      <w:pPr>
        <w:tabs>
          <w:tab w:val="left" w:pos="5966"/>
        </w:tabs>
        <w:ind w:left="5966" w:hanging="720"/>
      </w:pPr>
      <w:rPr>
        <w:rFonts w:hint="eastAsia"/>
      </w:rPr>
    </w:lvl>
    <w:lvl w:ilvl="1" w:tentative="0">
      <w:start w:val="1"/>
      <w:numFmt w:val="decimal"/>
      <w:pStyle w:val="564"/>
      <w:lvlText w:val="（%2）"/>
      <w:lvlJc w:val="left"/>
      <w:pPr>
        <w:tabs>
          <w:tab w:val="left" w:pos="6386"/>
        </w:tabs>
        <w:ind w:left="6386" w:hanging="720"/>
      </w:pPr>
      <w:rPr>
        <w:rFonts w:hint="default"/>
      </w:rPr>
    </w:lvl>
    <w:lvl w:ilvl="2" w:tentative="0">
      <w:start w:val="4"/>
      <w:numFmt w:val="decimal"/>
      <w:pStyle w:val="520"/>
      <w:lvlText w:val="(%3)"/>
      <w:lvlJc w:val="left"/>
      <w:pPr>
        <w:tabs>
          <w:tab w:val="left" w:pos="6446"/>
        </w:tabs>
        <w:ind w:left="6446" w:hanging="360"/>
      </w:pPr>
      <w:rPr>
        <w:rFonts w:hint="default"/>
      </w:rPr>
    </w:lvl>
    <w:lvl w:ilvl="3" w:tentative="0">
      <w:start w:val="1"/>
      <w:numFmt w:val="decimal"/>
      <w:pStyle w:val="586"/>
      <w:lvlText w:val="%4."/>
      <w:lvlJc w:val="left"/>
      <w:pPr>
        <w:tabs>
          <w:tab w:val="left" w:pos="6926"/>
        </w:tabs>
        <w:ind w:left="6926" w:hanging="420"/>
      </w:pPr>
    </w:lvl>
    <w:lvl w:ilvl="4" w:tentative="0">
      <w:start w:val="1"/>
      <w:numFmt w:val="lowerLetter"/>
      <w:lvlText w:val="%5)"/>
      <w:lvlJc w:val="left"/>
      <w:pPr>
        <w:tabs>
          <w:tab w:val="left" w:pos="7346"/>
        </w:tabs>
        <w:ind w:left="7346" w:hanging="420"/>
      </w:pPr>
    </w:lvl>
    <w:lvl w:ilvl="5" w:tentative="0">
      <w:start w:val="1"/>
      <w:numFmt w:val="lowerRoman"/>
      <w:pStyle w:val="7"/>
      <w:lvlText w:val="%6."/>
      <w:lvlJc w:val="right"/>
      <w:pPr>
        <w:tabs>
          <w:tab w:val="left" w:pos="7766"/>
        </w:tabs>
        <w:ind w:left="7766" w:hanging="420"/>
      </w:pPr>
    </w:lvl>
    <w:lvl w:ilvl="6" w:tentative="0">
      <w:start w:val="1"/>
      <w:numFmt w:val="decimal"/>
      <w:pStyle w:val="8"/>
      <w:lvlText w:val="%7."/>
      <w:lvlJc w:val="left"/>
      <w:pPr>
        <w:tabs>
          <w:tab w:val="left" w:pos="8186"/>
        </w:tabs>
        <w:ind w:left="8186" w:hanging="420"/>
      </w:pPr>
    </w:lvl>
    <w:lvl w:ilvl="7" w:tentative="0">
      <w:start w:val="1"/>
      <w:numFmt w:val="lowerLetter"/>
      <w:pStyle w:val="9"/>
      <w:lvlText w:val="%8)"/>
      <w:lvlJc w:val="left"/>
      <w:pPr>
        <w:tabs>
          <w:tab w:val="left" w:pos="8606"/>
        </w:tabs>
        <w:ind w:left="8606" w:hanging="420"/>
      </w:pPr>
    </w:lvl>
    <w:lvl w:ilvl="8" w:tentative="0">
      <w:start w:val="1"/>
      <w:numFmt w:val="lowerRoman"/>
      <w:pStyle w:val="10"/>
      <w:lvlText w:val="%9."/>
      <w:lvlJc w:val="right"/>
      <w:pPr>
        <w:tabs>
          <w:tab w:val="left" w:pos="9026"/>
        </w:tabs>
        <w:ind w:left="9026" w:hanging="42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FB8"/>
    <w:rsid w:val="00265FB8"/>
    <w:rsid w:val="003A485B"/>
    <w:rsid w:val="006870A6"/>
    <w:rsid w:val="00972273"/>
    <w:rsid w:val="14045104"/>
    <w:rsid w:val="1F2B2044"/>
    <w:rsid w:val="26DE4854"/>
    <w:rsid w:val="2B50232B"/>
    <w:rsid w:val="3F1E7DAC"/>
    <w:rsid w:val="46D32666"/>
    <w:rsid w:val="496C6C90"/>
    <w:rsid w:val="4BEB7C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qFormat="1" w:unhideWhenUsed="0" w:uiPriority="0" w:semiHidden="0"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qFormat="1" w:unhideWhenUsed="0" w:uiPriority="0" w:semiHidden="0" w:name="HTML Code"/>
    <w:lsdException w:uiPriority="99"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lang w:val="en-US" w:eastAsia="zh-CN" w:bidi="ar-SA"/>
    </w:rPr>
  </w:style>
  <w:style w:type="paragraph" w:styleId="2">
    <w:name w:val="heading 1"/>
    <w:basedOn w:val="1"/>
    <w:next w:val="1"/>
    <w:link w:val="13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36"/>
    <w:unhideWhenUsed/>
    <w:qFormat/>
    <w:uiPriority w:val="9"/>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114"/>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132"/>
    <w:unhideWhenUsed/>
    <w:qFormat/>
    <w:uiPriority w:val="9"/>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120"/>
    <w:semiHidden/>
    <w:unhideWhenUsed/>
    <w:qFormat/>
    <w:uiPriority w:val="9"/>
    <w:pPr>
      <w:keepNext/>
      <w:keepLines/>
      <w:widowControl w:val="0"/>
      <w:adjustRightInd w:val="0"/>
      <w:spacing w:before="120" w:after="120" w:line="480" w:lineRule="atLeast"/>
      <w:ind w:left="375" w:hanging="375" w:hangingChars="125"/>
      <w:jc w:val="both"/>
      <w:textAlignment w:val="baseline"/>
      <w:outlineLvl w:val="4"/>
    </w:pPr>
    <w:rPr>
      <w:rFonts w:eastAsia="楷体_GB2312"/>
      <w:b/>
      <w:sz w:val="30"/>
    </w:rPr>
  </w:style>
  <w:style w:type="paragraph" w:styleId="7">
    <w:name w:val="heading 6"/>
    <w:basedOn w:val="1"/>
    <w:next w:val="1"/>
    <w:link w:val="112"/>
    <w:semiHidden/>
    <w:unhideWhenUsed/>
    <w:qFormat/>
    <w:uiPriority w:val="9"/>
    <w:pPr>
      <w:keepNext/>
      <w:keepLines/>
      <w:numPr>
        <w:ilvl w:val="5"/>
        <w:numId w:val="1"/>
      </w:numPr>
      <w:tabs>
        <w:tab w:val="left" w:pos="1440"/>
      </w:tabs>
      <w:spacing w:before="240" w:after="64" w:line="317" w:lineRule="auto"/>
      <w:outlineLvl w:val="5"/>
    </w:pPr>
    <w:rPr>
      <w:rFonts w:ascii="Arial" w:hAnsi="Arial" w:eastAsia="黑体"/>
      <w:b/>
      <w:bCs/>
      <w:sz w:val="24"/>
      <w:szCs w:val="24"/>
    </w:rPr>
  </w:style>
  <w:style w:type="paragraph" w:styleId="8">
    <w:name w:val="heading 7"/>
    <w:basedOn w:val="1"/>
    <w:next w:val="1"/>
    <w:link w:val="126"/>
    <w:qFormat/>
    <w:uiPriority w:val="0"/>
    <w:pPr>
      <w:keepNext/>
      <w:keepLines/>
      <w:numPr>
        <w:ilvl w:val="6"/>
        <w:numId w:val="1"/>
      </w:numPr>
      <w:tabs>
        <w:tab w:val="left" w:pos="2520"/>
      </w:tabs>
      <w:spacing w:before="240" w:after="64" w:line="317" w:lineRule="auto"/>
      <w:outlineLvl w:val="6"/>
    </w:pPr>
    <w:rPr>
      <w:b/>
      <w:bCs/>
      <w:sz w:val="24"/>
      <w:szCs w:val="24"/>
    </w:rPr>
  </w:style>
  <w:style w:type="paragraph" w:styleId="9">
    <w:name w:val="heading 8"/>
    <w:basedOn w:val="1"/>
    <w:next w:val="1"/>
    <w:link w:val="137"/>
    <w:qFormat/>
    <w:uiPriority w:val="0"/>
    <w:pPr>
      <w:keepNext/>
      <w:keepLines/>
      <w:numPr>
        <w:ilvl w:val="7"/>
        <w:numId w:val="1"/>
      </w:numPr>
      <w:tabs>
        <w:tab w:val="left" w:pos="1440"/>
      </w:tabs>
      <w:spacing w:before="240" w:after="64" w:line="317" w:lineRule="auto"/>
      <w:outlineLvl w:val="7"/>
    </w:pPr>
    <w:rPr>
      <w:rFonts w:ascii="Arial" w:hAnsi="Arial" w:eastAsia="黑体"/>
      <w:sz w:val="24"/>
      <w:szCs w:val="24"/>
    </w:rPr>
  </w:style>
  <w:style w:type="paragraph" w:styleId="10">
    <w:name w:val="heading 9"/>
    <w:basedOn w:val="1"/>
    <w:next w:val="1"/>
    <w:link w:val="117"/>
    <w:qFormat/>
    <w:uiPriority w:val="0"/>
    <w:pPr>
      <w:keepNext/>
      <w:keepLines/>
      <w:numPr>
        <w:ilvl w:val="8"/>
        <w:numId w:val="1"/>
      </w:numPr>
      <w:tabs>
        <w:tab w:val="left" w:pos="1584"/>
      </w:tabs>
      <w:spacing w:before="240" w:after="64" w:line="317" w:lineRule="auto"/>
      <w:outlineLvl w:val="8"/>
    </w:pPr>
    <w:rPr>
      <w:rFonts w:ascii="Arial" w:hAnsi="Arial" w:eastAsia="黑体"/>
      <w:sz w:val="21"/>
      <w:szCs w:val="21"/>
    </w:rPr>
  </w:style>
  <w:style w:type="character" w:default="1" w:styleId="55">
    <w:name w:val="Default Paragraph Font"/>
    <w:semiHidden/>
    <w:unhideWhenUsed/>
    <w:qFormat/>
    <w:uiPriority w:val="1"/>
  </w:style>
  <w:style w:type="table" w:default="1" w:styleId="54">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widowControl w:val="0"/>
      <w:ind w:left="100" w:leftChars="400" w:hanging="200" w:hangingChars="200"/>
      <w:jc w:val="both"/>
    </w:pPr>
    <w:rPr>
      <w:kern w:val="2"/>
      <w:sz w:val="21"/>
      <w:szCs w:val="24"/>
    </w:rPr>
  </w:style>
  <w:style w:type="paragraph" w:styleId="12">
    <w:name w:val="toc 7"/>
    <w:basedOn w:val="1"/>
    <w:next w:val="1"/>
    <w:qFormat/>
    <w:uiPriority w:val="0"/>
    <w:pPr>
      <w:ind w:left="1200"/>
    </w:pPr>
    <w:rPr>
      <w:sz w:val="18"/>
      <w:szCs w:val="18"/>
    </w:rPr>
  </w:style>
  <w:style w:type="paragraph" w:styleId="13">
    <w:name w:val="Normal Indent"/>
    <w:basedOn w:val="14"/>
    <w:next w:val="1"/>
    <w:link w:val="129"/>
    <w:qFormat/>
    <w:uiPriority w:val="0"/>
    <w:pPr>
      <w:ind w:firstLine="420"/>
    </w:pPr>
  </w:style>
  <w:style w:type="paragraph" w:customStyle="1" w:styleId="14">
    <w:name w:val="Normal_1"/>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5">
    <w:name w:val="caption"/>
    <w:basedOn w:val="1"/>
    <w:next w:val="1"/>
    <w:qFormat/>
    <w:uiPriority w:val="0"/>
    <w:pPr>
      <w:widowControl w:val="0"/>
      <w:jc w:val="both"/>
    </w:pPr>
    <w:rPr>
      <w:rFonts w:ascii="Cambria" w:hAnsi="Cambria" w:eastAsia="黑体"/>
      <w:kern w:val="2"/>
    </w:rPr>
  </w:style>
  <w:style w:type="paragraph" w:styleId="16">
    <w:name w:val="List Bullet"/>
    <w:basedOn w:val="1"/>
    <w:qFormat/>
    <w:uiPriority w:val="0"/>
    <w:pPr>
      <w:widowControl w:val="0"/>
      <w:numPr>
        <w:ilvl w:val="0"/>
        <w:numId w:val="2"/>
      </w:numPr>
      <w:tabs>
        <w:tab w:val="clear" w:pos="432"/>
      </w:tabs>
      <w:jc w:val="both"/>
    </w:pPr>
    <w:rPr>
      <w:kern w:val="2"/>
      <w:sz w:val="21"/>
      <w:szCs w:val="24"/>
    </w:rPr>
  </w:style>
  <w:style w:type="paragraph" w:styleId="17">
    <w:name w:val="Document Map"/>
    <w:basedOn w:val="1"/>
    <w:link w:val="134"/>
    <w:qFormat/>
    <w:uiPriority w:val="0"/>
    <w:rPr>
      <w:rFonts w:ascii="宋体"/>
      <w:sz w:val="18"/>
      <w:szCs w:val="18"/>
    </w:rPr>
  </w:style>
  <w:style w:type="paragraph" w:styleId="18">
    <w:name w:val="toa heading"/>
    <w:basedOn w:val="1"/>
    <w:next w:val="1"/>
    <w:qFormat/>
    <w:uiPriority w:val="0"/>
    <w:pPr>
      <w:widowControl w:val="0"/>
      <w:spacing w:before="120"/>
      <w:jc w:val="both"/>
    </w:pPr>
    <w:rPr>
      <w:rFonts w:ascii="Arial" w:hAnsi="Arial"/>
      <w:kern w:val="2"/>
      <w:sz w:val="24"/>
    </w:rPr>
  </w:style>
  <w:style w:type="paragraph" w:styleId="19">
    <w:name w:val="annotation text"/>
    <w:basedOn w:val="1"/>
    <w:link w:val="138"/>
    <w:qFormat/>
    <w:uiPriority w:val="0"/>
    <w:pPr>
      <w:widowControl w:val="0"/>
      <w:adjustRightInd w:val="0"/>
      <w:spacing w:line="360" w:lineRule="atLeast"/>
      <w:textAlignment w:val="baseline"/>
    </w:pPr>
    <w:rPr>
      <w:sz w:val="24"/>
    </w:rPr>
  </w:style>
  <w:style w:type="paragraph" w:styleId="20">
    <w:name w:val="Body Text 3"/>
    <w:basedOn w:val="1"/>
    <w:link w:val="119"/>
    <w:qFormat/>
    <w:uiPriority w:val="0"/>
    <w:pPr>
      <w:widowControl w:val="0"/>
      <w:jc w:val="both"/>
    </w:pPr>
    <w:rPr>
      <w:rFonts w:ascii="宋体" w:hAnsi="宋体"/>
      <w:color w:val="000000"/>
      <w:kern w:val="2"/>
      <w:sz w:val="21"/>
    </w:rPr>
  </w:style>
  <w:style w:type="paragraph" w:styleId="21">
    <w:name w:val="Body Text"/>
    <w:basedOn w:val="1"/>
    <w:link w:val="131"/>
    <w:qFormat/>
    <w:uiPriority w:val="0"/>
    <w:pPr>
      <w:spacing w:after="120"/>
    </w:pPr>
  </w:style>
  <w:style w:type="paragraph" w:styleId="22">
    <w:name w:val="Body Text Indent"/>
    <w:basedOn w:val="1"/>
    <w:link w:val="123"/>
    <w:qFormat/>
    <w:uiPriority w:val="0"/>
    <w:pPr>
      <w:spacing w:after="120"/>
      <w:ind w:left="420" w:leftChars="200"/>
    </w:pPr>
  </w:style>
  <w:style w:type="paragraph" w:styleId="23">
    <w:name w:val="List 2"/>
    <w:basedOn w:val="1"/>
    <w:qFormat/>
    <w:uiPriority w:val="0"/>
    <w:pPr>
      <w:widowControl w:val="0"/>
      <w:ind w:left="100" w:leftChars="200" w:hanging="200" w:hangingChars="200"/>
      <w:jc w:val="both"/>
    </w:pPr>
    <w:rPr>
      <w:kern w:val="2"/>
      <w:sz w:val="21"/>
      <w:szCs w:val="24"/>
    </w:rPr>
  </w:style>
  <w:style w:type="paragraph" w:styleId="24">
    <w:name w:val="Block Text"/>
    <w:basedOn w:val="1"/>
    <w:qFormat/>
    <w:uiPriority w:val="0"/>
    <w:pPr>
      <w:spacing w:after="120"/>
      <w:ind w:left="1440" w:leftChars="700" w:right="1440" w:rightChars="700"/>
    </w:pPr>
  </w:style>
  <w:style w:type="paragraph" w:styleId="25">
    <w:name w:val="index 4"/>
    <w:basedOn w:val="1"/>
    <w:next w:val="1"/>
    <w:qFormat/>
    <w:uiPriority w:val="0"/>
    <w:pPr>
      <w:widowControl w:val="0"/>
      <w:ind w:left="600" w:leftChars="600"/>
      <w:jc w:val="both"/>
    </w:pPr>
    <w:rPr>
      <w:kern w:val="2"/>
      <w:sz w:val="21"/>
      <w:szCs w:val="24"/>
    </w:rPr>
  </w:style>
  <w:style w:type="paragraph" w:styleId="26">
    <w:name w:val="toc 5"/>
    <w:basedOn w:val="1"/>
    <w:next w:val="1"/>
    <w:qFormat/>
    <w:uiPriority w:val="0"/>
    <w:pPr>
      <w:ind w:left="800"/>
    </w:pPr>
    <w:rPr>
      <w:sz w:val="18"/>
      <w:szCs w:val="18"/>
    </w:rPr>
  </w:style>
  <w:style w:type="paragraph" w:styleId="27">
    <w:name w:val="toc 3"/>
    <w:basedOn w:val="1"/>
    <w:next w:val="1"/>
    <w:qFormat/>
    <w:uiPriority w:val="39"/>
    <w:pPr>
      <w:ind w:left="840" w:leftChars="400"/>
    </w:pPr>
  </w:style>
  <w:style w:type="paragraph" w:styleId="28">
    <w:name w:val="Plain Text"/>
    <w:basedOn w:val="1"/>
    <w:link w:val="128"/>
    <w:qFormat/>
    <w:uiPriority w:val="0"/>
    <w:pPr>
      <w:widowControl w:val="0"/>
      <w:jc w:val="both"/>
    </w:pPr>
    <w:rPr>
      <w:rFonts w:ascii="宋体" w:hAnsi="Courier New" w:cs="Courier New"/>
      <w:kern w:val="2"/>
      <w:sz w:val="21"/>
      <w:szCs w:val="21"/>
    </w:rPr>
  </w:style>
  <w:style w:type="paragraph" w:styleId="29">
    <w:name w:val="toc 8"/>
    <w:basedOn w:val="1"/>
    <w:next w:val="1"/>
    <w:qFormat/>
    <w:uiPriority w:val="0"/>
    <w:pPr>
      <w:ind w:left="1400"/>
    </w:pPr>
    <w:rPr>
      <w:sz w:val="18"/>
      <w:szCs w:val="18"/>
    </w:rPr>
  </w:style>
  <w:style w:type="paragraph" w:styleId="30">
    <w:name w:val="Date"/>
    <w:basedOn w:val="1"/>
    <w:next w:val="1"/>
    <w:link w:val="121"/>
    <w:qFormat/>
    <w:uiPriority w:val="0"/>
    <w:pPr>
      <w:ind w:left="100" w:leftChars="2500"/>
    </w:pPr>
  </w:style>
  <w:style w:type="paragraph" w:styleId="31">
    <w:name w:val="Body Text Indent 2"/>
    <w:basedOn w:val="1"/>
    <w:link w:val="118"/>
    <w:qFormat/>
    <w:uiPriority w:val="0"/>
    <w:pPr>
      <w:spacing w:after="120" w:line="480" w:lineRule="auto"/>
      <w:ind w:left="420" w:leftChars="200"/>
    </w:pPr>
  </w:style>
  <w:style w:type="paragraph" w:styleId="32">
    <w:name w:val="Balloon Text"/>
    <w:basedOn w:val="1"/>
    <w:link w:val="115"/>
    <w:qFormat/>
    <w:uiPriority w:val="0"/>
    <w:rPr>
      <w:sz w:val="18"/>
      <w:szCs w:val="18"/>
    </w:rPr>
  </w:style>
  <w:style w:type="paragraph" w:styleId="33">
    <w:name w:val="footer"/>
    <w:basedOn w:val="1"/>
    <w:link w:val="127"/>
    <w:qFormat/>
    <w:uiPriority w:val="0"/>
    <w:pPr>
      <w:tabs>
        <w:tab w:val="center" w:pos="4153"/>
        <w:tab w:val="right" w:pos="8306"/>
      </w:tabs>
      <w:snapToGrid w:val="0"/>
    </w:pPr>
    <w:rPr>
      <w:sz w:val="18"/>
      <w:szCs w:val="18"/>
    </w:rPr>
  </w:style>
  <w:style w:type="paragraph" w:styleId="34">
    <w:name w:val="header"/>
    <w:basedOn w:val="1"/>
    <w:link w:val="139"/>
    <w:qFormat/>
    <w:uiPriority w:val="0"/>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style>
  <w:style w:type="paragraph" w:styleId="36">
    <w:name w:val="toc 4"/>
    <w:basedOn w:val="1"/>
    <w:next w:val="1"/>
    <w:qFormat/>
    <w:uiPriority w:val="0"/>
    <w:pPr>
      <w:ind w:left="600"/>
    </w:pPr>
    <w:rPr>
      <w:sz w:val="18"/>
      <w:szCs w:val="18"/>
    </w:rPr>
  </w:style>
  <w:style w:type="paragraph" w:styleId="37">
    <w:name w:val="index heading"/>
    <w:basedOn w:val="1"/>
    <w:next w:val="38"/>
    <w:qFormat/>
    <w:uiPriority w:val="0"/>
    <w:pPr>
      <w:widowControl w:val="0"/>
      <w:jc w:val="both"/>
    </w:pPr>
    <w:rPr>
      <w:kern w:val="2"/>
      <w:sz w:val="21"/>
      <w:szCs w:val="24"/>
    </w:rPr>
  </w:style>
  <w:style w:type="paragraph" w:styleId="38">
    <w:name w:val="index 1"/>
    <w:basedOn w:val="1"/>
    <w:next w:val="1"/>
    <w:qFormat/>
    <w:uiPriority w:val="0"/>
    <w:pPr>
      <w:widowControl w:val="0"/>
      <w:ind w:firstLine="480" w:firstLineChars="200"/>
      <w:jc w:val="center"/>
    </w:pPr>
    <w:rPr>
      <w:kern w:val="2"/>
      <w:sz w:val="24"/>
      <w:szCs w:val="24"/>
    </w:rPr>
  </w:style>
  <w:style w:type="paragraph" w:styleId="39">
    <w:name w:val="Subtitle"/>
    <w:basedOn w:val="1"/>
    <w:next w:val="1"/>
    <w:link w:val="140"/>
    <w:qFormat/>
    <w:uiPriority w:val="11"/>
    <w:pPr>
      <w:widowControl w:val="0"/>
      <w:spacing w:before="240" w:after="60" w:line="312" w:lineRule="auto"/>
      <w:jc w:val="center"/>
      <w:outlineLvl w:val="1"/>
    </w:pPr>
    <w:rPr>
      <w:rFonts w:ascii="Cambria" w:hAnsi="Cambria"/>
      <w:b/>
      <w:kern w:val="28"/>
      <w:sz w:val="32"/>
    </w:rPr>
  </w:style>
  <w:style w:type="paragraph" w:styleId="40">
    <w:name w:val="footnote text"/>
    <w:basedOn w:val="1"/>
    <w:link w:val="133"/>
    <w:qFormat/>
    <w:uiPriority w:val="0"/>
    <w:pPr>
      <w:widowControl w:val="0"/>
      <w:adjustRightInd w:val="0"/>
      <w:spacing w:line="312" w:lineRule="atLeast"/>
      <w:textAlignment w:val="baseline"/>
    </w:pPr>
    <w:rPr>
      <w:sz w:val="18"/>
    </w:rPr>
  </w:style>
  <w:style w:type="paragraph" w:styleId="41">
    <w:name w:val="toc 6"/>
    <w:basedOn w:val="1"/>
    <w:next w:val="1"/>
    <w:qFormat/>
    <w:uiPriority w:val="0"/>
    <w:pPr>
      <w:ind w:left="1000"/>
    </w:pPr>
    <w:rPr>
      <w:sz w:val="18"/>
      <w:szCs w:val="18"/>
    </w:rPr>
  </w:style>
  <w:style w:type="paragraph" w:styleId="42">
    <w:name w:val="List 5"/>
    <w:basedOn w:val="1"/>
    <w:qFormat/>
    <w:uiPriority w:val="0"/>
    <w:pPr>
      <w:widowControl w:val="0"/>
      <w:ind w:left="2100" w:hanging="420"/>
      <w:jc w:val="both"/>
    </w:pPr>
    <w:rPr>
      <w:kern w:val="2"/>
      <w:sz w:val="21"/>
    </w:rPr>
  </w:style>
  <w:style w:type="paragraph" w:styleId="43">
    <w:name w:val="Body Text Indent 3"/>
    <w:basedOn w:val="1"/>
    <w:link w:val="130"/>
    <w:qFormat/>
    <w:uiPriority w:val="0"/>
    <w:pPr>
      <w:spacing w:after="120"/>
      <w:ind w:left="420" w:leftChars="200"/>
    </w:pPr>
    <w:rPr>
      <w:sz w:val="16"/>
      <w:szCs w:val="16"/>
    </w:rPr>
  </w:style>
  <w:style w:type="paragraph" w:styleId="44">
    <w:name w:val="table of figures"/>
    <w:basedOn w:val="1"/>
    <w:next w:val="1"/>
    <w:qFormat/>
    <w:uiPriority w:val="0"/>
    <w:pPr>
      <w:widowControl w:val="0"/>
      <w:ind w:left="200" w:leftChars="200" w:hanging="200" w:hangingChars="200"/>
      <w:jc w:val="both"/>
    </w:pPr>
    <w:rPr>
      <w:kern w:val="2"/>
      <w:sz w:val="21"/>
      <w:szCs w:val="24"/>
    </w:rPr>
  </w:style>
  <w:style w:type="paragraph" w:styleId="45">
    <w:name w:val="toc 2"/>
    <w:basedOn w:val="1"/>
    <w:next w:val="1"/>
    <w:qFormat/>
    <w:uiPriority w:val="39"/>
    <w:pPr>
      <w:ind w:left="420" w:leftChars="200"/>
    </w:pPr>
  </w:style>
  <w:style w:type="paragraph" w:styleId="46">
    <w:name w:val="toc 9"/>
    <w:basedOn w:val="1"/>
    <w:next w:val="1"/>
    <w:qFormat/>
    <w:uiPriority w:val="0"/>
    <w:pPr>
      <w:widowControl w:val="0"/>
      <w:tabs>
        <w:tab w:val="right" w:pos="8306"/>
      </w:tabs>
      <w:spacing w:before="156" w:beforeLines="50" w:line="300" w:lineRule="atLeast"/>
      <w:jc w:val="center"/>
    </w:pPr>
    <w:rPr>
      <w:rFonts w:ascii="宋体" w:hAnsi="宋体"/>
      <w:kern w:val="2"/>
      <w:sz w:val="21"/>
      <w:szCs w:val="24"/>
    </w:rPr>
  </w:style>
  <w:style w:type="paragraph" w:styleId="47">
    <w:name w:val="Body Text 2"/>
    <w:basedOn w:val="1"/>
    <w:link w:val="122"/>
    <w:qFormat/>
    <w:uiPriority w:val="0"/>
    <w:pPr>
      <w:spacing w:after="120" w:line="480" w:lineRule="auto"/>
    </w:pPr>
  </w:style>
  <w:style w:type="paragraph" w:styleId="48">
    <w:name w:val="List 4"/>
    <w:basedOn w:val="1"/>
    <w:qFormat/>
    <w:uiPriority w:val="0"/>
    <w:pPr>
      <w:widowControl w:val="0"/>
      <w:ind w:left="100" w:leftChars="600" w:hanging="200" w:hangingChars="200"/>
      <w:jc w:val="both"/>
    </w:pPr>
    <w:rPr>
      <w:kern w:val="2"/>
      <w:sz w:val="21"/>
    </w:rPr>
  </w:style>
  <w:style w:type="paragraph" w:styleId="49">
    <w:name w:val="HTML Preformatted"/>
    <w:basedOn w:val="1"/>
    <w:link w:val="113"/>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cs="宋体"/>
      <w:sz w:val="24"/>
      <w:szCs w:val="24"/>
    </w:rPr>
  </w:style>
  <w:style w:type="paragraph" w:styleId="50">
    <w:name w:val="Normal (Web)"/>
    <w:basedOn w:val="1"/>
    <w:link w:val="116"/>
    <w:qFormat/>
    <w:uiPriority w:val="0"/>
    <w:pPr>
      <w:spacing w:before="100" w:beforeAutospacing="1" w:after="100" w:afterAutospacing="1"/>
    </w:pPr>
    <w:rPr>
      <w:rFonts w:ascii="宋体" w:hAnsi="宋体" w:cs="宋体"/>
      <w:sz w:val="24"/>
      <w:szCs w:val="24"/>
    </w:rPr>
  </w:style>
  <w:style w:type="paragraph" w:styleId="51">
    <w:name w:val="Title"/>
    <w:basedOn w:val="1"/>
    <w:next w:val="1"/>
    <w:link w:val="141"/>
    <w:qFormat/>
    <w:uiPriority w:val="10"/>
    <w:pPr>
      <w:spacing w:before="240" w:after="60"/>
      <w:jc w:val="center"/>
      <w:outlineLvl w:val="0"/>
    </w:pPr>
    <w:rPr>
      <w:rFonts w:ascii="Cambria" w:hAnsi="Cambria"/>
      <w:b/>
      <w:bCs/>
      <w:sz w:val="32"/>
      <w:szCs w:val="32"/>
    </w:rPr>
  </w:style>
  <w:style w:type="paragraph" w:styleId="52">
    <w:name w:val="annotation subject"/>
    <w:basedOn w:val="19"/>
    <w:next w:val="19"/>
    <w:link w:val="107"/>
    <w:qFormat/>
    <w:uiPriority w:val="0"/>
    <w:pPr>
      <w:widowControl/>
      <w:adjustRightInd/>
      <w:spacing w:line="240" w:lineRule="auto"/>
      <w:textAlignment w:val="auto"/>
    </w:pPr>
    <w:rPr>
      <w:b/>
      <w:bCs/>
    </w:rPr>
  </w:style>
  <w:style w:type="paragraph" w:styleId="53">
    <w:name w:val="Body Text First Indent 2"/>
    <w:basedOn w:val="22"/>
    <w:link w:val="108"/>
    <w:qFormat/>
    <w:uiPriority w:val="0"/>
    <w:pPr>
      <w:ind w:firstLine="420" w:firstLineChars="200"/>
    </w:pPr>
  </w:style>
  <w:style w:type="character" w:styleId="56">
    <w:name w:val="Strong"/>
    <w:qFormat/>
    <w:uiPriority w:val="0"/>
    <w:rPr>
      <w:b/>
      <w:bCs/>
    </w:rPr>
  </w:style>
  <w:style w:type="character" w:styleId="57">
    <w:name w:val="page number"/>
    <w:qFormat/>
    <w:uiPriority w:val="0"/>
  </w:style>
  <w:style w:type="character" w:styleId="58">
    <w:name w:val="FollowedHyperlink"/>
    <w:qFormat/>
    <w:uiPriority w:val="0"/>
    <w:rPr>
      <w:color w:val="800080"/>
      <w:u w:val="none"/>
    </w:rPr>
  </w:style>
  <w:style w:type="character" w:styleId="59">
    <w:name w:val="Emphasis"/>
    <w:qFormat/>
    <w:uiPriority w:val="0"/>
    <w:rPr>
      <w:color w:val="CC0000"/>
    </w:rPr>
  </w:style>
  <w:style w:type="character" w:styleId="60">
    <w:name w:val="HTML Typewriter"/>
    <w:qFormat/>
    <w:uiPriority w:val="0"/>
    <w:rPr>
      <w:rFonts w:ascii="宋体" w:hAnsi="宋体" w:eastAsia="宋体" w:cs="宋体"/>
      <w:sz w:val="24"/>
      <w:szCs w:val="24"/>
    </w:rPr>
  </w:style>
  <w:style w:type="character" w:styleId="61">
    <w:name w:val="Hyperlink"/>
    <w:qFormat/>
    <w:uiPriority w:val="99"/>
    <w:rPr>
      <w:color w:val="0000FF"/>
      <w:u w:val="none"/>
    </w:rPr>
  </w:style>
  <w:style w:type="character" w:styleId="62">
    <w:name w:val="HTML Code"/>
    <w:qFormat/>
    <w:uiPriority w:val="0"/>
    <w:rPr>
      <w:rFonts w:hint="default" w:ascii="monospace" w:hAnsi="monospace" w:eastAsia="monospace" w:cs="monospace"/>
      <w:sz w:val="21"/>
      <w:szCs w:val="21"/>
    </w:rPr>
  </w:style>
  <w:style w:type="character" w:styleId="63">
    <w:name w:val="annotation reference"/>
    <w:qFormat/>
    <w:uiPriority w:val="0"/>
    <w:rPr>
      <w:sz w:val="21"/>
      <w:szCs w:val="21"/>
    </w:rPr>
  </w:style>
  <w:style w:type="character" w:styleId="64">
    <w:name w:val="footnote reference"/>
    <w:qFormat/>
    <w:uiPriority w:val="0"/>
    <w:rPr>
      <w:vertAlign w:val="superscript"/>
    </w:rPr>
  </w:style>
  <w:style w:type="character" w:styleId="65">
    <w:name w:val="HTML Keyboard"/>
    <w:qFormat/>
    <w:uiPriority w:val="0"/>
    <w:rPr>
      <w:rFonts w:ascii="monospace" w:hAnsi="monospace" w:eastAsia="monospace" w:cs="monospace"/>
      <w:sz w:val="21"/>
      <w:szCs w:val="21"/>
    </w:rPr>
  </w:style>
  <w:style w:type="character" w:styleId="66">
    <w:name w:val="HTML Sample"/>
    <w:qFormat/>
    <w:uiPriority w:val="0"/>
    <w:rPr>
      <w:rFonts w:hint="default" w:ascii="monospace" w:hAnsi="monospace" w:eastAsia="monospace" w:cs="monospace"/>
      <w:sz w:val="21"/>
      <w:szCs w:val="21"/>
    </w:rPr>
  </w:style>
  <w:style w:type="character" w:customStyle="1" w:styleId="67">
    <w:name w:val="批注主题 Char4"/>
    <w:qFormat/>
    <w:uiPriority w:val="0"/>
    <w:rPr>
      <w:b/>
      <w:bCs/>
      <w:kern w:val="2"/>
      <w:sz w:val="21"/>
      <w:szCs w:val="22"/>
    </w:rPr>
  </w:style>
  <w:style w:type="character" w:customStyle="1" w:styleId="68">
    <w:name w:val="Char Char22"/>
    <w:uiPriority w:val="0"/>
    <w:rPr>
      <w:rFonts w:ascii="Times New Roman" w:hAnsi="Times New Roman" w:eastAsia="宋体" w:cs="Times New Roman"/>
      <w:b/>
      <w:kern w:val="0"/>
      <w:sz w:val="20"/>
      <w:szCs w:val="20"/>
    </w:rPr>
  </w:style>
  <w:style w:type="character" w:customStyle="1" w:styleId="69">
    <w:name w:val="明显参考1"/>
    <w:uiPriority w:val="0"/>
    <w:rPr>
      <w:b/>
      <w:smallCaps/>
      <w:color w:val="C0504D"/>
      <w:spacing w:val="5"/>
      <w:u w:val="single"/>
    </w:rPr>
  </w:style>
  <w:style w:type="character" w:customStyle="1" w:styleId="70">
    <w:name w:val="Intense Quote Char_a201f4c3-730c-4b84-bdd0-f2d63761273d"/>
    <w:qFormat/>
    <w:uiPriority w:val="0"/>
    <w:rPr>
      <w:b/>
      <w:i/>
      <w:color w:val="4F81BD"/>
    </w:rPr>
  </w:style>
  <w:style w:type="character" w:customStyle="1" w:styleId="71">
    <w:name w:val="Subtitle Char1"/>
    <w:qFormat/>
    <w:uiPriority w:val="0"/>
    <w:rPr>
      <w:rFonts w:ascii="Cambria" w:hAnsi="Cambria" w:cs="Times New Roman"/>
      <w:b/>
      <w:bCs/>
      <w:kern w:val="28"/>
      <w:sz w:val="32"/>
      <w:szCs w:val="32"/>
    </w:rPr>
  </w:style>
  <w:style w:type="character" w:customStyle="1" w:styleId="72">
    <w:name w:val="Char Char1"/>
    <w:qFormat/>
    <w:uiPriority w:val="0"/>
    <w:rPr>
      <w:rFonts w:ascii="宋体" w:hAnsi="Courier New" w:eastAsia="宋体" w:cs="Courier New"/>
      <w:kern w:val="2"/>
      <w:sz w:val="21"/>
      <w:szCs w:val="21"/>
      <w:lang w:val="en-US" w:eastAsia="zh-CN" w:bidi="ar-SA"/>
    </w:rPr>
  </w:style>
  <w:style w:type="character" w:customStyle="1" w:styleId="73">
    <w:name w:val="Plain Text Char1"/>
    <w:qFormat/>
    <w:uiPriority w:val="0"/>
    <w:rPr>
      <w:rFonts w:ascii="宋体" w:hAnsi="Courier New" w:eastAsia="宋体" w:cs="宋体"/>
      <w:sz w:val="20"/>
      <w:szCs w:val="20"/>
    </w:rPr>
  </w:style>
  <w:style w:type="character" w:customStyle="1" w:styleId="74">
    <w:name w:val="Quote Char2"/>
    <w:link w:val="75"/>
    <w:qFormat/>
    <w:uiPriority w:val="0"/>
    <w:rPr>
      <w:rFonts w:ascii="Calibri" w:hAnsi="Calibri"/>
      <w:i/>
      <w:color w:val="000000"/>
    </w:rPr>
  </w:style>
  <w:style w:type="paragraph" w:customStyle="1" w:styleId="75">
    <w:name w:val="Quote2"/>
    <w:basedOn w:val="1"/>
    <w:next w:val="1"/>
    <w:link w:val="74"/>
    <w:qFormat/>
    <w:uiPriority w:val="0"/>
    <w:pPr>
      <w:widowControl w:val="0"/>
      <w:jc w:val="both"/>
    </w:pPr>
    <w:rPr>
      <w:rFonts w:ascii="Calibri" w:hAnsi="Calibri"/>
      <w:i/>
      <w:color w:val="000000"/>
    </w:rPr>
  </w:style>
  <w:style w:type="character" w:customStyle="1" w:styleId="76">
    <w:name w:val="批注文字 Char2"/>
    <w:qFormat/>
    <w:uiPriority w:val="0"/>
    <w:rPr>
      <w:rFonts w:hint="default" w:ascii="Calibri" w:hAnsi="Calibri" w:eastAsia="宋体" w:cs="Times New Roman"/>
    </w:rPr>
  </w:style>
  <w:style w:type="character" w:customStyle="1" w:styleId="77">
    <w:name w:val="明显引用 Char1"/>
    <w:link w:val="78"/>
    <w:qFormat/>
    <w:uiPriority w:val="0"/>
    <w:rPr>
      <w:b/>
      <w:bCs/>
      <w:i/>
      <w:iCs/>
      <w:color w:val="4F81BD"/>
    </w:rPr>
  </w:style>
  <w:style w:type="paragraph" w:customStyle="1" w:styleId="78">
    <w:name w:val="Intense Quote1"/>
    <w:basedOn w:val="1"/>
    <w:next w:val="1"/>
    <w:link w:val="77"/>
    <w:qFormat/>
    <w:uiPriority w:val="0"/>
    <w:pPr>
      <w:widowControl w:val="0"/>
      <w:pBdr>
        <w:bottom w:val="single" w:color="4F81BD" w:sz="4" w:space="4"/>
      </w:pBdr>
      <w:spacing w:before="200" w:after="280"/>
      <w:ind w:left="936" w:right="936"/>
      <w:jc w:val="both"/>
    </w:pPr>
    <w:rPr>
      <w:b/>
      <w:bCs/>
      <w:i/>
      <w:iCs/>
      <w:color w:val="4F81BD"/>
    </w:rPr>
  </w:style>
  <w:style w:type="character" w:customStyle="1" w:styleId="79">
    <w:name w:val="文档结构图 Char4"/>
    <w:qFormat/>
    <w:uiPriority w:val="0"/>
    <w:rPr>
      <w:rFonts w:ascii="宋体"/>
      <w:kern w:val="2"/>
      <w:sz w:val="18"/>
      <w:szCs w:val="18"/>
    </w:rPr>
  </w:style>
  <w:style w:type="character" w:customStyle="1" w:styleId="80">
    <w:name w:val="Char Char11"/>
    <w:qFormat/>
    <w:uiPriority w:val="0"/>
    <w:rPr>
      <w:b/>
      <w:sz w:val="24"/>
    </w:rPr>
  </w:style>
  <w:style w:type="character" w:customStyle="1" w:styleId="81">
    <w:name w:val="正文文本 Char4"/>
    <w:qFormat/>
    <w:uiPriority w:val="0"/>
    <w:rPr>
      <w:kern w:val="2"/>
      <w:sz w:val="21"/>
      <w:szCs w:val="22"/>
    </w:rPr>
  </w:style>
  <w:style w:type="character" w:customStyle="1" w:styleId="82">
    <w:name w:val="rxcss1"/>
    <w:qFormat/>
    <w:uiPriority w:val="0"/>
    <w:rPr>
      <w:rFonts w:hint="default" w:ascii="_x000B__x000C_" w:hAnsi="_x000B__x000C_"/>
      <w:spacing w:val="284"/>
      <w:sz w:val="26"/>
      <w:szCs w:val="26"/>
      <w:u w:val="none"/>
    </w:rPr>
  </w:style>
  <w:style w:type="character" w:customStyle="1" w:styleId="83">
    <w:name w:val="页眉 Char1"/>
    <w:qFormat/>
    <w:uiPriority w:val="0"/>
    <w:rPr>
      <w:kern w:val="2"/>
      <w:sz w:val="18"/>
      <w:szCs w:val="18"/>
    </w:rPr>
  </w:style>
  <w:style w:type="character" w:customStyle="1" w:styleId="84">
    <w:name w:val="首行缩进:  3.06 字符 Char"/>
    <w:link w:val="85"/>
    <w:qFormat/>
    <w:uiPriority w:val="0"/>
    <w:rPr>
      <w:rFonts w:ascii="楷体_GB2312" w:hAnsi="Calibri" w:eastAsia="楷体_GB2312"/>
      <w:kern w:val="2"/>
      <w:sz w:val="30"/>
      <w:szCs w:val="30"/>
    </w:rPr>
  </w:style>
  <w:style w:type="paragraph" w:customStyle="1" w:styleId="85">
    <w:name w:val="正文 + 宋体"/>
    <w:basedOn w:val="1"/>
    <w:link w:val="84"/>
    <w:qFormat/>
    <w:uiPriority w:val="0"/>
    <w:pPr>
      <w:widowControl w:val="0"/>
      <w:jc w:val="both"/>
    </w:pPr>
    <w:rPr>
      <w:rFonts w:ascii="楷体_GB2312" w:hAnsi="Calibri" w:eastAsia="楷体_GB2312"/>
      <w:kern w:val="2"/>
      <w:sz w:val="30"/>
      <w:szCs w:val="30"/>
    </w:rPr>
  </w:style>
  <w:style w:type="character" w:customStyle="1" w:styleId="86">
    <w:name w:val="不明显强调1"/>
    <w:qFormat/>
    <w:uiPriority w:val="0"/>
    <w:rPr>
      <w:i/>
      <w:color w:val="808080"/>
    </w:rPr>
  </w:style>
  <w:style w:type="character" w:customStyle="1" w:styleId="87">
    <w:name w:val="正文文本 3 Char1"/>
    <w:qFormat/>
    <w:uiPriority w:val="0"/>
    <w:rPr>
      <w:sz w:val="16"/>
      <w:szCs w:val="16"/>
    </w:rPr>
  </w:style>
  <w:style w:type="character" w:customStyle="1" w:styleId="88">
    <w:name w:val="Body Text Indent 3 Char"/>
    <w:qFormat/>
    <w:uiPriority w:val="0"/>
    <w:rPr>
      <w:rFonts w:ascii="Times New Roman" w:hAnsi="Times New Roman" w:eastAsia="文鼎报宋" w:cs="Times New Roman"/>
      <w:sz w:val="24"/>
      <w:szCs w:val="24"/>
    </w:rPr>
  </w:style>
  <w:style w:type="character" w:customStyle="1" w:styleId="89">
    <w:name w:val="Quote Char_cc2f4abb-6a43-42b2-a358-aa25d8315289"/>
    <w:qFormat/>
    <w:uiPriority w:val="0"/>
    <w:rPr>
      <w:i/>
      <w:color w:val="000000"/>
    </w:rPr>
  </w:style>
  <w:style w:type="character" w:customStyle="1" w:styleId="90">
    <w:name w:val="纯文本 Char2"/>
    <w:uiPriority w:val="0"/>
    <w:rPr>
      <w:rFonts w:ascii="宋体" w:hAnsi="Courier New" w:cs="Courier New"/>
      <w:kern w:val="2"/>
      <w:sz w:val="21"/>
      <w:szCs w:val="21"/>
    </w:rPr>
  </w:style>
  <w:style w:type="character" w:customStyle="1" w:styleId="91">
    <w:name w:val="Char Char18"/>
    <w:qFormat/>
    <w:uiPriority w:val="0"/>
    <w:rPr>
      <w:b/>
      <w:bCs/>
    </w:rPr>
  </w:style>
  <w:style w:type="character" w:customStyle="1" w:styleId="92">
    <w:name w:val="gray s"/>
    <w:qFormat/>
    <w:uiPriority w:val="0"/>
    <w:rPr>
      <w:rFonts w:cs="Times New Roman"/>
    </w:rPr>
  </w:style>
  <w:style w:type="character" w:customStyle="1" w:styleId="93">
    <w:name w:val="批注文字 Char3"/>
    <w:qFormat/>
    <w:uiPriority w:val="0"/>
    <w:rPr>
      <w:kern w:val="2"/>
      <w:sz w:val="21"/>
      <w:szCs w:val="22"/>
    </w:rPr>
  </w:style>
  <w:style w:type="character" w:customStyle="1" w:styleId="94">
    <w:name w:val="样式4 Char Char"/>
    <w:qFormat/>
    <w:uiPriority w:val="0"/>
    <w:rPr>
      <w:rFonts w:eastAsia="方正小标宋_GBK"/>
      <w:b/>
      <w:kern w:val="2"/>
      <w:sz w:val="24"/>
      <w:szCs w:val="24"/>
    </w:rPr>
  </w:style>
  <w:style w:type="character" w:customStyle="1" w:styleId="95">
    <w:name w:val="Char Char4"/>
    <w:uiPriority w:val="0"/>
    <w:rPr>
      <w:rFonts w:ascii="Arial" w:hAnsi="Arial" w:eastAsia="黑体"/>
      <w:b/>
      <w:bCs/>
      <w:kern w:val="2"/>
      <w:sz w:val="32"/>
      <w:szCs w:val="32"/>
      <w:lang w:val="en-US" w:eastAsia="zh-CN" w:bidi="ar-SA"/>
    </w:rPr>
  </w:style>
  <w:style w:type="character" w:customStyle="1" w:styleId="96">
    <w:name w:val="标题 2 Char1"/>
    <w:qFormat/>
    <w:uiPriority w:val="0"/>
    <w:rPr>
      <w:rFonts w:ascii="Arial" w:hAnsi="Arial" w:eastAsia="黑体"/>
      <w:b/>
      <w:bCs/>
      <w:sz w:val="32"/>
      <w:szCs w:val="32"/>
      <w:lang w:val="en-US" w:eastAsia="zh-CN" w:bidi="ar-SA"/>
    </w:rPr>
  </w:style>
  <w:style w:type="character" w:customStyle="1" w:styleId="97">
    <w:name w:val="zbggmain style9"/>
    <w:qFormat/>
    <w:uiPriority w:val="0"/>
  </w:style>
  <w:style w:type="character" w:customStyle="1" w:styleId="98">
    <w:name w:val="Heading 6 Char_25fbe7f4-9a78-4e0c-9a02-b72231a74a49"/>
    <w:qFormat/>
    <w:uiPriority w:val="0"/>
    <w:rPr>
      <w:rFonts w:ascii="Arial" w:hAnsi="Arial" w:eastAsia="黑体" w:cs="Arial"/>
      <w:b/>
      <w:bCs/>
      <w:kern w:val="0"/>
      <w:sz w:val="24"/>
      <w:szCs w:val="24"/>
    </w:rPr>
  </w:style>
  <w:style w:type="character" w:customStyle="1" w:styleId="99">
    <w:name w:val="h Char"/>
    <w:qFormat/>
    <w:uiPriority w:val="0"/>
    <w:rPr>
      <w:rFonts w:eastAsia="宋体"/>
      <w:kern w:val="2"/>
      <w:sz w:val="18"/>
      <w:szCs w:val="18"/>
      <w:lang w:val="en-US" w:eastAsia="zh-CN" w:bidi="ar-SA"/>
    </w:rPr>
  </w:style>
  <w:style w:type="character" w:customStyle="1" w:styleId="100">
    <w:name w:val="正文文本 2 Char1"/>
    <w:qFormat/>
    <w:uiPriority w:val="0"/>
    <w:rPr>
      <w:kern w:val="2"/>
      <w:sz w:val="21"/>
      <w:szCs w:val="22"/>
    </w:rPr>
  </w:style>
  <w:style w:type="character" w:customStyle="1" w:styleId="101">
    <w:name w:val="Default Char Char"/>
    <w:link w:val="102"/>
    <w:qFormat/>
    <w:uiPriority w:val="0"/>
    <w:rPr>
      <w:rFonts w:ascii="宋体" w:hAnsi="宋体"/>
      <w:color w:val="000000"/>
      <w:sz w:val="24"/>
      <w:lang w:val="en-US" w:eastAsia="zh-CN" w:bidi="ar-SA"/>
    </w:rPr>
  </w:style>
  <w:style w:type="paragraph" w:customStyle="1" w:styleId="102">
    <w:name w:val="Default"/>
    <w:link w:val="101"/>
    <w:qFormat/>
    <w:uiPriority w:val="0"/>
    <w:pPr>
      <w:widowControl w:val="0"/>
      <w:autoSpaceDE w:val="0"/>
      <w:autoSpaceDN w:val="0"/>
    </w:pPr>
    <w:rPr>
      <w:rFonts w:ascii="宋体" w:hAnsi="宋体" w:eastAsia="宋体" w:cs="Times New Roman"/>
      <w:color w:val="000000"/>
      <w:sz w:val="24"/>
      <w:lang w:val="en-US" w:eastAsia="zh-CN" w:bidi="ar-SA"/>
    </w:rPr>
  </w:style>
  <w:style w:type="character" w:customStyle="1" w:styleId="103">
    <w:name w:val="Char Char Char Char Char"/>
    <w:qFormat/>
    <w:uiPriority w:val="0"/>
    <w:rPr>
      <w:rFonts w:ascii="宋体" w:hAnsi="宋体" w:eastAsia="宋体"/>
      <w:lang w:val="en-US" w:eastAsia="zh-CN" w:bidi="ar-SA"/>
    </w:rPr>
  </w:style>
  <w:style w:type="character" w:customStyle="1" w:styleId="104">
    <w:name w:val="Title Header2 Char Char"/>
    <w:qFormat/>
    <w:uiPriority w:val="0"/>
    <w:rPr>
      <w:rFonts w:ascii="Arial" w:hAnsi="Arial" w:eastAsia="黑体"/>
      <w:b/>
      <w:bCs/>
      <w:sz w:val="32"/>
      <w:szCs w:val="32"/>
      <w:lang w:val="en-US" w:eastAsia="zh-CN" w:bidi="ar-SA"/>
    </w:rPr>
  </w:style>
  <w:style w:type="character" w:customStyle="1" w:styleId="105">
    <w:name w:val="Intense Reference1"/>
    <w:qFormat/>
    <w:uiPriority w:val="0"/>
    <w:rPr>
      <w:b/>
      <w:smallCaps/>
      <w:color w:val="auto"/>
      <w:spacing w:val="5"/>
      <w:u w:val="single"/>
    </w:rPr>
  </w:style>
  <w:style w:type="character" w:customStyle="1" w:styleId="106">
    <w:name w:val="样式 段落编号 + (中文) 黑体 两端对齐 Char Char Char Char Char"/>
    <w:qFormat/>
    <w:uiPriority w:val="0"/>
    <w:rPr>
      <w:rFonts w:ascii="宋体" w:hAnsi="宋体" w:eastAsia="黑体" w:cs="宋体"/>
      <w:kern w:val="2"/>
      <w:sz w:val="24"/>
      <w:szCs w:val="24"/>
      <w:lang w:val="en-US" w:eastAsia="zh-CN" w:bidi="ar-SA"/>
    </w:rPr>
  </w:style>
  <w:style w:type="character" w:customStyle="1" w:styleId="107">
    <w:name w:val="批注主题 字符"/>
    <w:link w:val="52"/>
    <w:qFormat/>
    <w:uiPriority w:val="0"/>
    <w:rPr>
      <w:b/>
      <w:bCs/>
    </w:rPr>
  </w:style>
  <w:style w:type="character" w:customStyle="1" w:styleId="108">
    <w:name w:val="正文文本首行缩进 2 字符"/>
    <w:link w:val="53"/>
    <w:qFormat/>
    <w:uiPriority w:val="0"/>
  </w:style>
  <w:style w:type="character" w:customStyle="1" w:styleId="109">
    <w:name w:val="Char Char8"/>
    <w:qFormat/>
    <w:uiPriority w:val="0"/>
    <w:rPr>
      <w:rFonts w:ascii="Arial" w:hAnsi="Arial" w:eastAsia="黑体"/>
      <w:b/>
      <w:bCs/>
      <w:kern w:val="2"/>
      <w:sz w:val="32"/>
      <w:szCs w:val="32"/>
      <w:lang w:val="en-US" w:eastAsia="zh-CN" w:bidi="ar-SA"/>
    </w:rPr>
  </w:style>
  <w:style w:type="character" w:customStyle="1" w:styleId="110">
    <w:name w:val="Char Char14"/>
    <w:qFormat/>
    <w:uiPriority w:val="0"/>
    <w:rPr>
      <w:rFonts w:ascii="Arial" w:hAnsi="Arial" w:eastAsia="黑体"/>
      <w:b/>
      <w:sz w:val="28"/>
    </w:rPr>
  </w:style>
  <w:style w:type="character" w:customStyle="1" w:styleId="111">
    <w:name w:val="Comment Subject Char"/>
    <w:qFormat/>
    <w:uiPriority w:val="0"/>
    <w:rPr>
      <w:rFonts w:ascii="宋体" w:hAnsi="Times New Roman" w:eastAsia="宋体" w:cs="宋体"/>
      <w:b/>
      <w:bCs/>
      <w:kern w:val="0"/>
      <w:sz w:val="20"/>
      <w:szCs w:val="20"/>
    </w:rPr>
  </w:style>
  <w:style w:type="character" w:customStyle="1" w:styleId="112">
    <w:name w:val="标题 6 字符"/>
    <w:link w:val="7"/>
    <w:qFormat/>
    <w:uiPriority w:val="0"/>
    <w:rPr>
      <w:rFonts w:ascii="Arial" w:hAnsi="Arial" w:eastAsia="黑体"/>
      <w:b/>
      <w:bCs/>
      <w:sz w:val="24"/>
      <w:szCs w:val="24"/>
    </w:rPr>
  </w:style>
  <w:style w:type="character" w:customStyle="1" w:styleId="113">
    <w:name w:val="HTML 预设格式 字符"/>
    <w:link w:val="49"/>
    <w:qFormat/>
    <w:uiPriority w:val="0"/>
    <w:rPr>
      <w:rFonts w:ascii="宋体" w:hAnsi="宋体" w:cs="宋体"/>
      <w:sz w:val="24"/>
      <w:szCs w:val="24"/>
    </w:rPr>
  </w:style>
  <w:style w:type="character" w:customStyle="1" w:styleId="114">
    <w:name w:val="标题 3 字符"/>
    <w:link w:val="4"/>
    <w:qFormat/>
    <w:uiPriority w:val="0"/>
    <w:rPr>
      <w:b/>
      <w:bCs/>
      <w:sz w:val="32"/>
      <w:szCs w:val="32"/>
    </w:rPr>
  </w:style>
  <w:style w:type="character" w:customStyle="1" w:styleId="115">
    <w:name w:val="批注框文本 字符"/>
    <w:link w:val="32"/>
    <w:qFormat/>
    <w:uiPriority w:val="0"/>
    <w:rPr>
      <w:sz w:val="18"/>
      <w:szCs w:val="18"/>
    </w:rPr>
  </w:style>
  <w:style w:type="character" w:customStyle="1" w:styleId="116">
    <w:name w:val="普通(网站) 字符"/>
    <w:link w:val="50"/>
    <w:qFormat/>
    <w:uiPriority w:val="0"/>
    <w:rPr>
      <w:rFonts w:ascii="宋体" w:hAnsi="宋体" w:cs="宋体"/>
      <w:sz w:val="24"/>
      <w:szCs w:val="24"/>
    </w:rPr>
  </w:style>
  <w:style w:type="character" w:customStyle="1" w:styleId="117">
    <w:name w:val="标题 9 字符"/>
    <w:link w:val="10"/>
    <w:qFormat/>
    <w:uiPriority w:val="0"/>
    <w:rPr>
      <w:rFonts w:ascii="Arial" w:hAnsi="Arial" w:eastAsia="黑体"/>
      <w:sz w:val="21"/>
      <w:szCs w:val="21"/>
    </w:rPr>
  </w:style>
  <w:style w:type="character" w:customStyle="1" w:styleId="118">
    <w:name w:val="正文文本缩进 2 字符"/>
    <w:link w:val="31"/>
    <w:qFormat/>
    <w:uiPriority w:val="0"/>
  </w:style>
  <w:style w:type="character" w:customStyle="1" w:styleId="119">
    <w:name w:val="正文文本 3 字符"/>
    <w:link w:val="20"/>
    <w:qFormat/>
    <w:uiPriority w:val="0"/>
    <w:rPr>
      <w:rFonts w:ascii="宋体" w:hAnsi="宋体"/>
      <w:color w:val="000000"/>
      <w:kern w:val="2"/>
      <w:sz w:val="21"/>
    </w:rPr>
  </w:style>
  <w:style w:type="character" w:customStyle="1" w:styleId="120">
    <w:name w:val="标题 5 字符"/>
    <w:link w:val="6"/>
    <w:qFormat/>
    <w:uiPriority w:val="0"/>
    <w:rPr>
      <w:rFonts w:eastAsia="楷体_GB2312"/>
      <w:b/>
      <w:sz w:val="30"/>
    </w:rPr>
  </w:style>
  <w:style w:type="character" w:customStyle="1" w:styleId="121">
    <w:name w:val="日期 字符"/>
    <w:link w:val="30"/>
    <w:qFormat/>
    <w:uiPriority w:val="0"/>
  </w:style>
  <w:style w:type="character" w:customStyle="1" w:styleId="122">
    <w:name w:val="正文文本 2 字符"/>
    <w:link w:val="47"/>
    <w:qFormat/>
    <w:uiPriority w:val="0"/>
  </w:style>
  <w:style w:type="character" w:customStyle="1" w:styleId="123">
    <w:name w:val="正文文本缩进 字符"/>
    <w:link w:val="22"/>
    <w:qFormat/>
    <w:uiPriority w:val="0"/>
  </w:style>
  <w:style w:type="character" w:customStyle="1" w:styleId="124">
    <w:name w:val="样式3-1 Char Char"/>
    <w:link w:val="125"/>
    <w:qFormat/>
    <w:uiPriority w:val="0"/>
    <w:rPr>
      <w:rFonts w:ascii="宋体" w:hAnsi="宋体"/>
      <w:b/>
      <w:bCs/>
      <w:kern w:val="2"/>
      <w:sz w:val="32"/>
      <w:szCs w:val="24"/>
    </w:rPr>
  </w:style>
  <w:style w:type="paragraph" w:customStyle="1" w:styleId="125">
    <w:name w:val="样式3-1"/>
    <w:basedOn w:val="1"/>
    <w:link w:val="124"/>
    <w:qFormat/>
    <w:uiPriority w:val="0"/>
    <w:pPr>
      <w:widowControl w:val="0"/>
      <w:adjustRightInd w:val="0"/>
      <w:snapToGrid w:val="0"/>
      <w:spacing w:before="156" w:beforeLines="50" w:line="360" w:lineRule="auto"/>
      <w:jc w:val="center"/>
      <w:outlineLvl w:val="2"/>
    </w:pPr>
    <w:rPr>
      <w:rFonts w:ascii="宋体" w:hAnsi="宋体"/>
      <w:b/>
      <w:bCs/>
      <w:kern w:val="2"/>
      <w:sz w:val="32"/>
      <w:szCs w:val="24"/>
    </w:rPr>
  </w:style>
  <w:style w:type="character" w:customStyle="1" w:styleId="126">
    <w:name w:val="标题 7 字符"/>
    <w:link w:val="8"/>
    <w:qFormat/>
    <w:uiPriority w:val="0"/>
    <w:rPr>
      <w:b/>
      <w:bCs/>
      <w:sz w:val="24"/>
      <w:szCs w:val="24"/>
    </w:rPr>
  </w:style>
  <w:style w:type="character" w:customStyle="1" w:styleId="127">
    <w:name w:val="页脚 字符"/>
    <w:link w:val="33"/>
    <w:qFormat/>
    <w:uiPriority w:val="0"/>
    <w:rPr>
      <w:rFonts w:eastAsia="宋体"/>
      <w:sz w:val="18"/>
      <w:szCs w:val="18"/>
      <w:lang w:val="en-US" w:eastAsia="zh-CN" w:bidi="ar-SA"/>
    </w:rPr>
  </w:style>
  <w:style w:type="character" w:customStyle="1" w:styleId="128">
    <w:name w:val="纯文本 字符"/>
    <w:link w:val="28"/>
    <w:qFormat/>
    <w:uiPriority w:val="0"/>
    <w:rPr>
      <w:rFonts w:ascii="宋体" w:hAnsi="Courier New" w:cs="Courier New"/>
      <w:kern w:val="2"/>
      <w:sz w:val="21"/>
      <w:szCs w:val="21"/>
    </w:rPr>
  </w:style>
  <w:style w:type="character" w:customStyle="1" w:styleId="129">
    <w:name w:val="正文缩进 字符"/>
    <w:link w:val="13"/>
    <w:qFormat/>
    <w:uiPriority w:val="0"/>
  </w:style>
  <w:style w:type="character" w:customStyle="1" w:styleId="130">
    <w:name w:val="正文文本缩进 3 字符"/>
    <w:link w:val="43"/>
    <w:qFormat/>
    <w:uiPriority w:val="0"/>
    <w:rPr>
      <w:sz w:val="16"/>
      <w:szCs w:val="16"/>
    </w:rPr>
  </w:style>
  <w:style w:type="character" w:customStyle="1" w:styleId="131">
    <w:name w:val="正文文本 字符"/>
    <w:link w:val="21"/>
    <w:qFormat/>
    <w:uiPriority w:val="0"/>
    <w:rPr>
      <w:rFonts w:eastAsia="宋体"/>
      <w:lang w:val="en-US" w:eastAsia="zh-CN" w:bidi="ar-SA"/>
    </w:rPr>
  </w:style>
  <w:style w:type="character" w:customStyle="1" w:styleId="132">
    <w:name w:val="标题 4 字符"/>
    <w:link w:val="5"/>
    <w:qFormat/>
    <w:uiPriority w:val="0"/>
    <w:rPr>
      <w:rFonts w:ascii="Arial" w:hAnsi="Arial" w:eastAsia="黑体"/>
      <w:b/>
      <w:bCs/>
      <w:sz w:val="28"/>
      <w:szCs w:val="28"/>
    </w:rPr>
  </w:style>
  <w:style w:type="character" w:customStyle="1" w:styleId="133">
    <w:name w:val="脚注文本 字符"/>
    <w:link w:val="40"/>
    <w:qFormat/>
    <w:uiPriority w:val="0"/>
    <w:rPr>
      <w:sz w:val="18"/>
    </w:rPr>
  </w:style>
  <w:style w:type="character" w:customStyle="1" w:styleId="134">
    <w:name w:val="文档结构图 字符"/>
    <w:link w:val="17"/>
    <w:qFormat/>
    <w:uiPriority w:val="0"/>
    <w:rPr>
      <w:rFonts w:ascii="宋体"/>
      <w:sz w:val="18"/>
      <w:szCs w:val="18"/>
    </w:rPr>
  </w:style>
  <w:style w:type="character" w:customStyle="1" w:styleId="135">
    <w:name w:val="标题 1 字符"/>
    <w:link w:val="2"/>
    <w:qFormat/>
    <w:uiPriority w:val="0"/>
    <w:rPr>
      <w:b/>
      <w:bCs/>
      <w:kern w:val="44"/>
      <w:sz w:val="44"/>
      <w:szCs w:val="44"/>
    </w:rPr>
  </w:style>
  <w:style w:type="character" w:customStyle="1" w:styleId="136">
    <w:name w:val="标题 2 字符"/>
    <w:link w:val="3"/>
    <w:qFormat/>
    <w:uiPriority w:val="0"/>
    <w:rPr>
      <w:rFonts w:ascii="Arial" w:hAnsi="Arial" w:eastAsia="黑体"/>
      <w:b/>
      <w:bCs/>
      <w:sz w:val="32"/>
      <w:szCs w:val="32"/>
    </w:rPr>
  </w:style>
  <w:style w:type="character" w:customStyle="1" w:styleId="137">
    <w:name w:val="标题 8 字符"/>
    <w:link w:val="9"/>
    <w:qFormat/>
    <w:uiPriority w:val="0"/>
    <w:rPr>
      <w:rFonts w:ascii="Arial" w:hAnsi="Arial" w:eastAsia="黑体"/>
      <w:sz w:val="24"/>
      <w:szCs w:val="24"/>
    </w:rPr>
  </w:style>
  <w:style w:type="character" w:customStyle="1" w:styleId="138">
    <w:name w:val="批注文字 字符"/>
    <w:link w:val="19"/>
    <w:qFormat/>
    <w:uiPriority w:val="0"/>
    <w:rPr>
      <w:sz w:val="24"/>
    </w:rPr>
  </w:style>
  <w:style w:type="character" w:customStyle="1" w:styleId="139">
    <w:name w:val="页眉 字符"/>
    <w:link w:val="34"/>
    <w:qFormat/>
    <w:uiPriority w:val="0"/>
    <w:rPr>
      <w:sz w:val="18"/>
      <w:szCs w:val="18"/>
    </w:rPr>
  </w:style>
  <w:style w:type="character" w:customStyle="1" w:styleId="140">
    <w:name w:val="副标题 字符"/>
    <w:link w:val="39"/>
    <w:qFormat/>
    <w:uiPriority w:val="0"/>
    <w:rPr>
      <w:rFonts w:ascii="Cambria" w:hAnsi="Cambria"/>
      <w:b/>
      <w:kern w:val="28"/>
      <w:sz w:val="32"/>
    </w:rPr>
  </w:style>
  <w:style w:type="character" w:customStyle="1" w:styleId="141">
    <w:name w:val="标题 字符"/>
    <w:link w:val="51"/>
    <w:qFormat/>
    <w:uiPriority w:val="0"/>
    <w:rPr>
      <w:rFonts w:ascii="Cambria" w:hAnsi="Cambria" w:cs="Times New Roman"/>
      <w:b/>
      <w:bCs/>
      <w:sz w:val="32"/>
      <w:szCs w:val="32"/>
    </w:rPr>
  </w:style>
  <w:style w:type="character" w:customStyle="1" w:styleId="142">
    <w:name w:val="Char Char5"/>
    <w:qFormat/>
    <w:uiPriority w:val="0"/>
    <w:rPr>
      <w:rFonts w:ascii="Cambria" w:hAnsi="Cambria" w:eastAsia="宋体"/>
      <w:b/>
      <w:bCs/>
      <w:kern w:val="2"/>
      <w:sz w:val="28"/>
      <w:szCs w:val="28"/>
      <w:lang w:val="en-US" w:eastAsia="zh-CN" w:bidi="ar-SA"/>
    </w:rPr>
  </w:style>
  <w:style w:type="character" w:customStyle="1" w:styleId="143">
    <w:name w:val="not([class*=suffix])1"/>
    <w:qFormat/>
    <w:uiPriority w:val="0"/>
  </w:style>
  <w:style w:type="character" w:customStyle="1" w:styleId="144">
    <w:name w:val="bi1"/>
    <w:qFormat/>
    <w:uiPriority w:val="0"/>
    <w:rPr>
      <w:rFonts w:cs="Times New Roman"/>
      <w:spacing w:val="400"/>
      <w:sz w:val="21"/>
      <w:szCs w:val="21"/>
    </w:rPr>
  </w:style>
  <w:style w:type="character" w:customStyle="1" w:styleId="145">
    <w:name w:val="副标题 Char1"/>
    <w:qFormat/>
    <w:uiPriority w:val="0"/>
    <w:rPr>
      <w:rFonts w:ascii="Cambria" w:hAnsi="Cambria" w:cs="Times New Roman"/>
      <w:b/>
      <w:bCs/>
      <w:kern w:val="28"/>
      <w:sz w:val="32"/>
      <w:szCs w:val="32"/>
    </w:rPr>
  </w:style>
  <w:style w:type="character" w:customStyle="1" w:styleId="146">
    <w:name w:val="普通文字 Char Char2"/>
    <w:qFormat/>
    <w:uiPriority w:val="0"/>
    <w:rPr>
      <w:rFonts w:ascii="宋体" w:hAnsi="Courier New" w:eastAsia="宋体" w:cs="Courier New"/>
      <w:kern w:val="0"/>
      <w:sz w:val="21"/>
      <w:szCs w:val="21"/>
    </w:rPr>
  </w:style>
  <w:style w:type="character" w:customStyle="1" w:styleId="147">
    <w:name w:val="表格文字 Char1"/>
    <w:qFormat/>
    <w:uiPriority w:val="0"/>
    <w:rPr>
      <w:rFonts w:ascii="宋体" w:hAnsi="宋体" w:eastAsia="宋体"/>
      <w:lang w:val="en-US" w:eastAsia="zh-CN" w:bidi="ar-SA"/>
    </w:rPr>
  </w:style>
  <w:style w:type="character" w:customStyle="1" w:styleId="148">
    <w:name w:val="s1"/>
    <w:qFormat/>
    <w:uiPriority w:val="0"/>
    <w:rPr>
      <w:rFonts w:cs="Times New Roman"/>
      <w:sz w:val="15"/>
      <w:szCs w:val="15"/>
    </w:rPr>
  </w:style>
  <w:style w:type="character" w:customStyle="1" w:styleId="149">
    <w:name w:val="正文首行缩进 2 Char1"/>
    <w:qFormat/>
    <w:uiPriority w:val="0"/>
  </w:style>
  <w:style w:type="character" w:customStyle="1" w:styleId="150">
    <w:name w:val="明显强调1"/>
    <w:qFormat/>
    <w:uiPriority w:val="0"/>
    <w:rPr>
      <w:b/>
      <w:bCs/>
      <w:i/>
      <w:iCs/>
      <w:color w:val="4F81BD"/>
    </w:rPr>
  </w:style>
  <w:style w:type="character" w:customStyle="1" w:styleId="151">
    <w:name w:val="引用 Char1"/>
    <w:link w:val="152"/>
    <w:qFormat/>
    <w:uiPriority w:val="0"/>
    <w:rPr>
      <w:i/>
      <w:iCs/>
      <w:color w:val="000000"/>
      <w:kern w:val="2"/>
      <w:sz w:val="21"/>
      <w:szCs w:val="24"/>
    </w:rPr>
  </w:style>
  <w:style w:type="paragraph" w:customStyle="1" w:styleId="152">
    <w:name w:val="Quote1"/>
    <w:basedOn w:val="1"/>
    <w:next w:val="1"/>
    <w:link w:val="151"/>
    <w:qFormat/>
    <w:uiPriority w:val="0"/>
    <w:pPr>
      <w:widowControl w:val="0"/>
      <w:jc w:val="both"/>
    </w:pPr>
    <w:rPr>
      <w:i/>
      <w:iCs/>
      <w:color w:val="000000"/>
      <w:kern w:val="2"/>
      <w:sz w:val="21"/>
      <w:szCs w:val="24"/>
    </w:rPr>
  </w:style>
  <w:style w:type="character" w:customStyle="1" w:styleId="153">
    <w:name w:val="Intense Quote Char1"/>
    <w:qFormat/>
    <w:uiPriority w:val="0"/>
    <w:rPr>
      <w:rFonts w:ascii="Times New Roman" w:hAnsi="Times New Roman"/>
      <w:b/>
      <w:bCs/>
      <w:i/>
      <w:iCs/>
      <w:color w:val="4F81BD"/>
    </w:rPr>
  </w:style>
  <w:style w:type="character" w:customStyle="1" w:styleId="154">
    <w:name w:val="not([class*=suffix])"/>
    <w:qFormat/>
    <w:uiPriority w:val="0"/>
    <w:rPr>
      <w:sz w:val="15"/>
      <w:szCs w:val="15"/>
    </w:rPr>
  </w:style>
  <w:style w:type="character" w:customStyle="1" w:styleId="155">
    <w:name w:val="Char Char10"/>
    <w:qFormat/>
    <w:uiPriority w:val="0"/>
    <w:rPr>
      <w:rFonts w:ascii="宋体" w:hAnsi="宋体" w:eastAsia="宋体"/>
      <w:kern w:val="2"/>
      <w:sz w:val="18"/>
      <w:szCs w:val="18"/>
      <w:lang w:val="en-US" w:eastAsia="zh-CN" w:bidi="ar-SA"/>
    </w:rPr>
  </w:style>
  <w:style w:type="character" w:customStyle="1" w:styleId="156">
    <w:name w:val="Blockquote Char Char Char"/>
    <w:link w:val="157"/>
    <w:qFormat/>
    <w:uiPriority w:val="0"/>
    <w:rPr>
      <w:sz w:val="24"/>
    </w:rPr>
  </w:style>
  <w:style w:type="paragraph" w:customStyle="1" w:styleId="157">
    <w:name w:val="Blockquote"/>
    <w:basedOn w:val="1"/>
    <w:link w:val="156"/>
    <w:qFormat/>
    <w:uiPriority w:val="0"/>
    <w:pPr>
      <w:widowControl w:val="0"/>
      <w:autoSpaceDE w:val="0"/>
      <w:autoSpaceDN w:val="0"/>
      <w:adjustRightInd w:val="0"/>
      <w:spacing w:before="100" w:after="100"/>
      <w:ind w:left="360" w:right="360"/>
    </w:pPr>
    <w:rPr>
      <w:sz w:val="24"/>
    </w:rPr>
  </w:style>
  <w:style w:type="character" w:customStyle="1" w:styleId="158">
    <w:name w:val="Preformatted Char Char"/>
    <w:qFormat/>
    <w:uiPriority w:val="0"/>
    <w:rPr>
      <w:rFonts w:ascii="Courier New" w:hAnsi="Courier New" w:eastAsia="宋体"/>
      <w:lang w:val="en-US" w:eastAsia="zh-CN"/>
    </w:rPr>
  </w:style>
  <w:style w:type="character" w:customStyle="1" w:styleId="159">
    <w:name w:val="页脚 Char2"/>
    <w:qFormat/>
    <w:uiPriority w:val="0"/>
    <w:rPr>
      <w:kern w:val="2"/>
      <w:sz w:val="18"/>
      <w:szCs w:val="18"/>
    </w:rPr>
  </w:style>
  <w:style w:type="character" w:customStyle="1" w:styleId="160">
    <w:name w:val="Char Char121"/>
    <w:qFormat/>
    <w:uiPriority w:val="0"/>
    <w:rPr>
      <w:rFonts w:ascii="Arial" w:hAnsi="Arial" w:eastAsia="黑体"/>
      <w:b/>
      <w:sz w:val="24"/>
    </w:rPr>
  </w:style>
  <w:style w:type="character" w:customStyle="1" w:styleId="161">
    <w:name w:val="正文文本缩进 2 Char1"/>
    <w:qFormat/>
    <w:uiPriority w:val="0"/>
    <w:rPr>
      <w:rFonts w:hint="default" w:ascii="Calibri" w:hAnsi="Calibri" w:eastAsia="宋体" w:cs="Times New Roman"/>
    </w:rPr>
  </w:style>
  <w:style w:type="character" w:customStyle="1" w:styleId="162">
    <w:name w:val="Char Char2"/>
    <w:qFormat/>
    <w:uiPriority w:val="0"/>
    <w:rPr>
      <w:rFonts w:eastAsia="宋体"/>
      <w:kern w:val="2"/>
      <w:sz w:val="21"/>
      <w:szCs w:val="24"/>
      <w:lang w:val="en-US" w:eastAsia="zh-CN" w:bidi="ar-SA"/>
    </w:rPr>
  </w:style>
  <w:style w:type="character" w:customStyle="1" w:styleId="163">
    <w:name w:val="页码1"/>
    <w:qFormat/>
    <w:uiPriority w:val="0"/>
    <w:rPr>
      <w:rFonts w:cs="Times New Roman"/>
    </w:rPr>
  </w:style>
  <w:style w:type="character" w:customStyle="1" w:styleId="164">
    <w:name w:val="Char Char181"/>
    <w:qFormat/>
    <w:uiPriority w:val="0"/>
    <w:rPr>
      <w:rFonts w:ascii="Arial" w:hAnsi="Arial" w:eastAsia="黑体"/>
      <w:sz w:val="21"/>
      <w:szCs w:val="21"/>
    </w:rPr>
  </w:style>
  <w:style w:type="character" w:customStyle="1" w:styleId="165">
    <w:name w:val="Normal Indent Char Char"/>
    <w:qFormat/>
    <w:uiPriority w:val="0"/>
    <w:rPr>
      <w:rFonts w:ascii="Times New Roman" w:hAnsi="Times New Roman" w:eastAsia="宋体"/>
      <w:sz w:val="20"/>
    </w:rPr>
  </w:style>
  <w:style w:type="character" w:customStyle="1" w:styleId="166">
    <w:name w:val="Heading 4 Char_ef2be5db-3f38-449c-82d6-04e35c49666d"/>
    <w:qFormat/>
    <w:uiPriority w:val="0"/>
    <w:rPr>
      <w:rFonts w:ascii="Arial" w:hAnsi="Arial" w:eastAsia="黑体" w:cs="Arial"/>
      <w:b/>
      <w:bCs/>
      <w:sz w:val="28"/>
      <w:szCs w:val="28"/>
    </w:rPr>
  </w:style>
  <w:style w:type="character" w:customStyle="1" w:styleId="167">
    <w:name w:val="active[data-v-71e9a85e]"/>
    <w:qFormat/>
    <w:uiPriority w:val="0"/>
    <w:rPr>
      <w:b/>
      <w:bCs/>
    </w:rPr>
  </w:style>
  <w:style w:type="character" w:customStyle="1" w:styleId="168">
    <w:name w:val="_Style 159"/>
    <w:qFormat/>
    <w:uiPriority w:val="0"/>
    <w:rPr>
      <w:b/>
      <w:i/>
      <w:sz w:val="24"/>
      <w:szCs w:val="24"/>
      <w:u w:val="single"/>
    </w:rPr>
  </w:style>
  <w:style w:type="character" w:customStyle="1" w:styleId="169">
    <w:name w:val="Char Char811"/>
    <w:qFormat/>
    <w:uiPriority w:val="0"/>
    <w:rPr>
      <w:rFonts w:ascii="Times New Roman" w:hAnsi="Times New Roman" w:eastAsia="宋体" w:cs="Times New Roman"/>
      <w:kern w:val="0"/>
      <w:sz w:val="20"/>
      <w:szCs w:val="20"/>
    </w:rPr>
  </w:style>
  <w:style w:type="character" w:customStyle="1" w:styleId="170">
    <w:name w:val="文档结构图 Char2"/>
    <w:qFormat/>
    <w:uiPriority w:val="0"/>
    <w:rPr>
      <w:rFonts w:ascii="宋体"/>
      <w:kern w:val="2"/>
      <w:sz w:val="18"/>
      <w:szCs w:val="18"/>
    </w:rPr>
  </w:style>
  <w:style w:type="character" w:customStyle="1" w:styleId="171">
    <w:name w:val="明显强调2"/>
    <w:qFormat/>
    <w:uiPriority w:val="0"/>
    <w:rPr>
      <w:b/>
      <w:i/>
      <w:color w:val="4F81BD"/>
    </w:rPr>
  </w:style>
  <w:style w:type="character" w:customStyle="1" w:styleId="172">
    <w:name w:val="Char Char25"/>
    <w:qFormat/>
    <w:uiPriority w:val="0"/>
    <w:rPr>
      <w:rFonts w:ascii="Arial" w:hAnsi="Arial" w:eastAsia="黑体" w:cs="Times New Roman"/>
      <w:b/>
      <w:bCs/>
      <w:kern w:val="0"/>
      <w:sz w:val="32"/>
      <w:szCs w:val="32"/>
    </w:rPr>
  </w:style>
  <w:style w:type="character" w:customStyle="1" w:styleId="173">
    <w:name w:val="textcontents"/>
    <w:qFormat/>
    <w:uiPriority w:val="0"/>
  </w:style>
  <w:style w:type="character" w:customStyle="1" w:styleId="174">
    <w:name w:val="Char Char19"/>
    <w:qFormat/>
    <w:uiPriority w:val="0"/>
    <w:rPr>
      <w:rFonts w:ascii="Arial" w:hAnsi="Arial" w:eastAsia="黑体"/>
      <w:sz w:val="24"/>
      <w:szCs w:val="24"/>
    </w:rPr>
  </w:style>
  <w:style w:type="character" w:customStyle="1" w:styleId="175">
    <w:name w:val="明显参考11"/>
    <w:qFormat/>
    <w:uiPriority w:val="0"/>
    <w:rPr>
      <w:b/>
      <w:bCs/>
      <w:smallCaps/>
      <w:color w:val="C0504D"/>
      <w:spacing w:val="5"/>
      <w:u w:val="single"/>
    </w:rPr>
  </w:style>
  <w:style w:type="character" w:customStyle="1" w:styleId="176">
    <w:name w:val="批注框文本 Char4"/>
    <w:qFormat/>
    <w:uiPriority w:val="0"/>
    <w:rPr>
      <w:kern w:val="2"/>
      <w:sz w:val="18"/>
      <w:szCs w:val="18"/>
    </w:rPr>
  </w:style>
  <w:style w:type="character" w:customStyle="1" w:styleId="177">
    <w:name w:val="style61"/>
    <w:qFormat/>
    <w:uiPriority w:val="0"/>
    <w:rPr>
      <w:rFonts w:cs="Times New Roman"/>
      <w:sz w:val="21"/>
      <w:szCs w:val="21"/>
    </w:rPr>
  </w:style>
  <w:style w:type="character" w:customStyle="1" w:styleId="178">
    <w:name w:val="正文文本缩进 3 Char2"/>
    <w:qFormat/>
    <w:uiPriority w:val="0"/>
    <w:rPr>
      <w:rFonts w:hint="default" w:ascii="Calibri" w:hAnsi="Calibri" w:eastAsia="宋体" w:cs="Times New Roman"/>
      <w:sz w:val="16"/>
      <w:szCs w:val="16"/>
    </w:rPr>
  </w:style>
  <w:style w:type="character" w:customStyle="1" w:styleId="179">
    <w:name w:val="文档结构图 Char3"/>
    <w:qFormat/>
    <w:uiPriority w:val="0"/>
    <w:rPr>
      <w:rFonts w:hint="eastAsia" w:ascii="宋体" w:hAnsi="Calibri" w:eastAsia="宋体" w:cs="Times New Roman"/>
      <w:sz w:val="18"/>
      <w:szCs w:val="18"/>
    </w:rPr>
  </w:style>
  <w:style w:type="character" w:customStyle="1" w:styleId="180">
    <w:name w:val="不明显参考1"/>
    <w:qFormat/>
    <w:uiPriority w:val="0"/>
    <w:rPr>
      <w:smallCaps/>
      <w:color w:val="C0504D"/>
      <w:u w:val="single"/>
    </w:rPr>
  </w:style>
  <w:style w:type="character" w:customStyle="1" w:styleId="181">
    <w:name w:val="样式1 Char Char"/>
    <w:link w:val="182"/>
    <w:qFormat/>
    <w:uiPriority w:val="0"/>
    <w:rPr>
      <w:rFonts w:ascii="黑体" w:hAnsi="Arial" w:eastAsia="黑体"/>
      <w:b/>
      <w:bCs/>
      <w:sz w:val="24"/>
      <w:szCs w:val="30"/>
    </w:rPr>
  </w:style>
  <w:style w:type="paragraph" w:customStyle="1" w:styleId="182">
    <w:name w:val="样式1"/>
    <w:basedOn w:val="5"/>
    <w:link w:val="181"/>
    <w:qFormat/>
    <w:uiPriority w:val="0"/>
    <w:rPr>
      <w:rFonts w:ascii="黑体"/>
      <w:sz w:val="24"/>
      <w:szCs w:val="30"/>
    </w:rPr>
  </w:style>
  <w:style w:type="character" w:customStyle="1" w:styleId="183">
    <w:name w:val="f142"/>
    <w:qFormat/>
    <w:uiPriority w:val="0"/>
    <w:rPr>
      <w:rFonts w:cs="Times New Roman"/>
      <w:sz w:val="21"/>
      <w:szCs w:val="21"/>
    </w:rPr>
  </w:style>
  <w:style w:type="character" w:customStyle="1" w:styleId="184">
    <w:name w:val="书籍标题1"/>
    <w:qFormat/>
    <w:uiPriority w:val="0"/>
    <w:rPr>
      <w:b/>
      <w:smallCaps/>
      <w:spacing w:val="5"/>
    </w:rPr>
  </w:style>
  <w:style w:type="character" w:customStyle="1" w:styleId="185">
    <w:name w:val="Heading 5 Char_18672afc-e749-41b4-8da1-e9e99b261dff"/>
    <w:qFormat/>
    <w:uiPriority w:val="0"/>
    <w:rPr>
      <w:rFonts w:cs="Times New Roman"/>
      <w:b/>
      <w:bCs/>
      <w:sz w:val="28"/>
      <w:szCs w:val="28"/>
    </w:rPr>
  </w:style>
  <w:style w:type="character" w:customStyle="1" w:styleId="186">
    <w:name w:val="Char Char16"/>
    <w:qFormat/>
    <w:uiPriority w:val="0"/>
    <w:rPr>
      <w:rFonts w:eastAsia="宋体"/>
      <w:b/>
      <w:kern w:val="44"/>
      <w:sz w:val="44"/>
      <w:lang w:val="en-US" w:eastAsia="zh-CN"/>
    </w:rPr>
  </w:style>
  <w:style w:type="character" w:customStyle="1" w:styleId="187">
    <w:name w:val="Para head"/>
    <w:qFormat/>
    <w:uiPriority w:val="0"/>
    <w:rPr>
      <w:rFonts w:ascii="Arial" w:hAnsi="Arial" w:eastAsia="Times New Roman"/>
      <w:sz w:val="20"/>
    </w:rPr>
  </w:style>
  <w:style w:type="character" w:customStyle="1" w:styleId="188">
    <w:name w:val="署名 Char"/>
    <w:qFormat/>
    <w:uiPriority w:val="0"/>
    <w:rPr>
      <w:rFonts w:ascii="宋体" w:hAnsi="宋体" w:eastAsia="宋体"/>
    </w:rPr>
  </w:style>
  <w:style w:type="character" w:customStyle="1" w:styleId="189">
    <w:name w:val="页码2"/>
    <w:qFormat/>
    <w:uiPriority w:val="0"/>
    <w:rPr>
      <w:rFonts w:cs="Times New Roman"/>
    </w:rPr>
  </w:style>
  <w:style w:type="character" w:customStyle="1" w:styleId="190">
    <w:name w:val="font161"/>
    <w:qFormat/>
    <w:uiPriority w:val="0"/>
    <w:rPr>
      <w:b/>
      <w:bCs/>
      <w:sz w:val="32"/>
      <w:szCs w:val="32"/>
    </w:rPr>
  </w:style>
  <w:style w:type="character" w:customStyle="1" w:styleId="191">
    <w:name w:val="标题 1 Char Char"/>
    <w:qFormat/>
    <w:uiPriority w:val="0"/>
    <w:rPr>
      <w:b/>
      <w:bCs/>
      <w:kern w:val="44"/>
      <w:sz w:val="44"/>
      <w:szCs w:val="44"/>
    </w:rPr>
  </w:style>
  <w:style w:type="character" w:customStyle="1" w:styleId="192">
    <w:name w:val="批注文字 Char1"/>
    <w:qFormat/>
    <w:uiPriority w:val="0"/>
    <w:rPr>
      <w:sz w:val="24"/>
    </w:rPr>
  </w:style>
  <w:style w:type="character" w:customStyle="1" w:styleId="193">
    <w:name w:val="Footer Char_c6a380a0-8418-4ba9-b5a4-d088d61fbd0d"/>
    <w:qFormat/>
    <w:uiPriority w:val="0"/>
    <w:rPr>
      <w:rFonts w:eastAsia="宋体"/>
      <w:sz w:val="18"/>
    </w:rPr>
  </w:style>
  <w:style w:type="character" w:customStyle="1" w:styleId="194">
    <w:name w:val="Document Map Char"/>
    <w:qFormat/>
    <w:uiPriority w:val="0"/>
    <w:rPr>
      <w:rFonts w:ascii="宋体"/>
      <w:sz w:val="18"/>
    </w:rPr>
  </w:style>
  <w:style w:type="character" w:customStyle="1" w:styleId="195">
    <w:name w:val="apple-style-span"/>
    <w:qFormat/>
    <w:uiPriority w:val="0"/>
  </w:style>
  <w:style w:type="character" w:customStyle="1" w:styleId="196">
    <w:name w:val="Char Char15"/>
    <w:qFormat/>
    <w:uiPriority w:val="0"/>
    <w:rPr>
      <w:rFonts w:eastAsia="宋体"/>
      <w:b/>
      <w:bCs/>
      <w:kern w:val="2"/>
      <w:sz w:val="32"/>
      <w:szCs w:val="32"/>
      <w:lang w:val="en-US" w:eastAsia="zh-CN" w:bidi="ar-SA"/>
    </w:rPr>
  </w:style>
  <w:style w:type="character" w:customStyle="1" w:styleId="197">
    <w:name w:val="Body Text Char"/>
    <w:qFormat/>
    <w:uiPriority w:val="0"/>
    <w:rPr>
      <w:rFonts w:eastAsia="宋体"/>
    </w:rPr>
  </w:style>
  <w:style w:type="character" w:customStyle="1" w:styleId="198">
    <w:name w:val="页码3"/>
    <w:qFormat/>
    <w:uiPriority w:val="0"/>
  </w:style>
  <w:style w:type="character" w:customStyle="1" w:styleId="199">
    <w:name w:val="Char Char21"/>
    <w:qFormat/>
    <w:uiPriority w:val="0"/>
    <w:rPr>
      <w:rFonts w:hint="default" w:ascii="Cambria" w:hAnsi="Cambria" w:eastAsia="仿宋"/>
      <w:b/>
      <w:bCs/>
      <w:sz w:val="36"/>
      <w:szCs w:val="26"/>
      <w:lang w:eastAsia="en-US" w:bidi="en-US"/>
    </w:rPr>
  </w:style>
  <w:style w:type="character" w:customStyle="1" w:styleId="200">
    <w:name w:val="Char Char26"/>
    <w:qFormat/>
    <w:uiPriority w:val="0"/>
    <w:rPr>
      <w:rFonts w:ascii="Times New Roman" w:hAnsi="Times New Roman" w:eastAsia="宋体" w:cs="Times New Roman"/>
      <w:b/>
      <w:bCs/>
      <w:kern w:val="44"/>
      <w:sz w:val="44"/>
      <w:szCs w:val="44"/>
    </w:rPr>
  </w:style>
  <w:style w:type="character" w:customStyle="1" w:styleId="201">
    <w:name w:val="Char Char141"/>
    <w:qFormat/>
    <w:uiPriority w:val="0"/>
    <w:rPr>
      <w:rFonts w:ascii="Arial" w:hAnsi="Arial" w:eastAsia="黑体"/>
      <w:b/>
      <w:sz w:val="28"/>
    </w:rPr>
  </w:style>
  <w:style w:type="character" w:customStyle="1" w:styleId="202">
    <w:name w:val="正文文本 Char Char"/>
    <w:qFormat/>
    <w:uiPriority w:val="0"/>
    <w:rPr>
      <w:rFonts w:eastAsia="宋体"/>
      <w:kern w:val="2"/>
      <w:sz w:val="21"/>
      <w:szCs w:val="24"/>
      <w:lang w:val="en-US" w:eastAsia="zh-CN" w:bidi="ar-SA"/>
    </w:rPr>
  </w:style>
  <w:style w:type="character" w:customStyle="1" w:styleId="203">
    <w:name w:val="标题 2 Char Char"/>
    <w:qFormat/>
    <w:uiPriority w:val="0"/>
    <w:rPr>
      <w:rFonts w:ascii="Arial" w:hAnsi="Arial" w:eastAsia="黑体"/>
      <w:b/>
      <w:bCs/>
      <w:sz w:val="32"/>
      <w:szCs w:val="32"/>
    </w:rPr>
  </w:style>
  <w:style w:type="character" w:customStyle="1" w:styleId="204">
    <w:name w:val="批注主题 Char1"/>
    <w:qFormat/>
    <w:uiPriority w:val="0"/>
    <w:rPr>
      <w:b/>
      <w:kern w:val="2"/>
      <w:sz w:val="22"/>
    </w:rPr>
  </w:style>
  <w:style w:type="character" w:customStyle="1" w:styleId="205">
    <w:name w:val="Char Char13"/>
    <w:qFormat/>
    <w:uiPriority w:val="0"/>
    <w:rPr>
      <w:rFonts w:eastAsia="宋体"/>
    </w:rPr>
  </w:style>
  <w:style w:type="character" w:customStyle="1" w:styleId="206">
    <w:name w:val="书籍标题11"/>
    <w:qFormat/>
    <w:uiPriority w:val="0"/>
    <w:rPr>
      <w:b/>
      <w:bCs/>
      <w:smallCaps/>
      <w:spacing w:val="5"/>
    </w:rPr>
  </w:style>
  <w:style w:type="character" w:customStyle="1" w:styleId="207">
    <w:name w:val="_Style 300"/>
    <w:qFormat/>
    <w:uiPriority w:val="0"/>
    <w:rPr>
      <w:b/>
      <w:sz w:val="24"/>
      <w:u w:val="single"/>
    </w:rPr>
  </w:style>
  <w:style w:type="character" w:customStyle="1" w:styleId="208">
    <w:name w:val="引用 Char3"/>
    <w:qFormat/>
    <w:uiPriority w:val="0"/>
    <w:rPr>
      <w:rFonts w:ascii="Times New Roman" w:hAnsi="Times New Roman"/>
      <w:i/>
      <w:iCs/>
      <w:color w:val="000000"/>
    </w:rPr>
  </w:style>
  <w:style w:type="character" w:customStyle="1" w:styleId="209">
    <w:name w:val="Char Char1111"/>
    <w:qFormat/>
    <w:uiPriority w:val="0"/>
    <w:rPr>
      <w:b/>
      <w:sz w:val="24"/>
    </w:rPr>
  </w:style>
  <w:style w:type="character" w:customStyle="1" w:styleId="210">
    <w:name w:val="Char Char221"/>
    <w:qFormat/>
    <w:uiPriority w:val="0"/>
    <w:rPr>
      <w:rFonts w:hint="eastAsia" w:ascii="仿宋" w:hAnsi="仿宋" w:eastAsia="仿宋"/>
      <w:b/>
      <w:bCs/>
      <w:iCs/>
      <w:sz w:val="44"/>
      <w:szCs w:val="48"/>
      <w:lang w:bidi="en-US"/>
    </w:rPr>
  </w:style>
  <w:style w:type="character" w:customStyle="1" w:styleId="211">
    <w:name w:val="样式2 Char Char"/>
    <w:link w:val="212"/>
    <w:qFormat/>
    <w:uiPriority w:val="0"/>
    <w:rPr>
      <w:rFonts w:ascii="黑体" w:hAnsi="Arial" w:eastAsia="黑体"/>
      <w:b/>
      <w:bCs/>
      <w:sz w:val="24"/>
      <w:szCs w:val="30"/>
    </w:rPr>
  </w:style>
  <w:style w:type="paragraph" w:customStyle="1" w:styleId="212">
    <w:name w:val="样式2"/>
    <w:basedOn w:val="5"/>
    <w:next w:val="5"/>
    <w:link w:val="211"/>
    <w:qFormat/>
    <w:uiPriority w:val="0"/>
    <w:rPr>
      <w:rFonts w:ascii="黑体"/>
      <w:sz w:val="24"/>
      <w:szCs w:val="30"/>
    </w:rPr>
  </w:style>
  <w:style w:type="character" w:customStyle="1" w:styleId="213">
    <w:name w:val="副标题 Char2"/>
    <w:qFormat/>
    <w:uiPriority w:val="0"/>
    <w:rPr>
      <w:rFonts w:hint="default" w:ascii="Cambria" w:hAnsi="Cambria" w:eastAsia="宋体" w:cs="Times New Roman"/>
      <w:b/>
      <w:bCs/>
      <w:kern w:val="28"/>
      <w:sz w:val="32"/>
      <w:szCs w:val="32"/>
    </w:rPr>
  </w:style>
  <w:style w:type="character" w:customStyle="1" w:styleId="214">
    <w:name w:val="HTML 预设格式 Char1"/>
    <w:qFormat/>
    <w:uiPriority w:val="0"/>
    <w:rPr>
      <w:rFonts w:ascii="Courier New" w:hAnsi="Courier New" w:cs="Courier New"/>
    </w:rPr>
  </w:style>
  <w:style w:type="character" w:customStyle="1" w:styleId="215">
    <w:name w:val="正文文本 Char1"/>
    <w:qFormat/>
    <w:uiPriority w:val="0"/>
    <w:rPr>
      <w:kern w:val="2"/>
      <w:sz w:val="21"/>
      <w:szCs w:val="22"/>
    </w:rPr>
  </w:style>
  <w:style w:type="character" w:customStyle="1" w:styleId="216">
    <w:name w:val="style181"/>
    <w:qFormat/>
    <w:uiPriority w:val="0"/>
    <w:rPr>
      <w:rFonts w:cs="Times New Roman"/>
      <w:color w:val="333333"/>
    </w:rPr>
  </w:style>
  <w:style w:type="character" w:customStyle="1" w:styleId="217">
    <w:name w:val="_Style 304"/>
    <w:qFormat/>
    <w:uiPriority w:val="0"/>
    <w:rPr>
      <w:sz w:val="24"/>
      <w:szCs w:val="24"/>
      <w:u w:val="single"/>
    </w:rPr>
  </w:style>
  <w:style w:type="character" w:customStyle="1" w:styleId="218">
    <w:name w:val="标题 Char1"/>
    <w:qFormat/>
    <w:uiPriority w:val="0"/>
    <w:rPr>
      <w:rFonts w:ascii="Cambria" w:hAnsi="Cambria" w:cs="Times New Roman"/>
      <w:b/>
      <w:bCs/>
      <w:kern w:val="2"/>
      <w:sz w:val="32"/>
      <w:szCs w:val="32"/>
    </w:rPr>
  </w:style>
  <w:style w:type="character" w:customStyle="1" w:styleId="219">
    <w:name w:val="Char Char23"/>
    <w:qFormat/>
    <w:uiPriority w:val="0"/>
    <w:rPr>
      <w:rFonts w:ascii="Arial" w:hAnsi="Arial" w:eastAsia="黑体" w:cs="Times New Roman"/>
      <w:b/>
      <w:bCs/>
      <w:kern w:val="0"/>
      <w:sz w:val="28"/>
      <w:szCs w:val="28"/>
    </w:rPr>
  </w:style>
  <w:style w:type="character" w:customStyle="1" w:styleId="220">
    <w:name w:val="Title Char1"/>
    <w:qFormat/>
    <w:uiPriority w:val="0"/>
    <w:rPr>
      <w:rFonts w:ascii="Cambria" w:hAnsi="Cambria" w:cs="Times New Roman"/>
      <w:b/>
      <w:bCs/>
      <w:sz w:val="32"/>
      <w:szCs w:val="32"/>
    </w:rPr>
  </w:style>
  <w:style w:type="character" w:customStyle="1" w:styleId="221">
    <w:name w:val="Char Char211"/>
    <w:qFormat/>
    <w:uiPriority w:val="0"/>
    <w:rPr>
      <w:rFonts w:ascii="Arial" w:hAnsi="Arial" w:eastAsia="黑体"/>
      <w:b/>
      <w:bCs/>
      <w:sz w:val="24"/>
      <w:szCs w:val="24"/>
    </w:rPr>
  </w:style>
  <w:style w:type="character" w:customStyle="1" w:styleId="222">
    <w:name w:val="Subtitle Char"/>
    <w:qFormat/>
    <w:uiPriority w:val="0"/>
    <w:rPr>
      <w:rFonts w:ascii="Cambria" w:hAnsi="Cambria"/>
      <w:b/>
      <w:kern w:val="28"/>
      <w:sz w:val="32"/>
    </w:rPr>
  </w:style>
  <w:style w:type="character" w:customStyle="1" w:styleId="223">
    <w:name w:val="正文文本缩进 Char1"/>
    <w:qFormat/>
    <w:uiPriority w:val="0"/>
    <w:rPr>
      <w:rFonts w:eastAsia="宋体"/>
      <w:lang w:val="en-US" w:eastAsia="zh-CN" w:bidi="ar-SA"/>
    </w:rPr>
  </w:style>
  <w:style w:type="character" w:customStyle="1" w:styleId="224">
    <w:name w:val="Char Char142"/>
    <w:qFormat/>
    <w:uiPriority w:val="0"/>
    <w:rPr>
      <w:rFonts w:ascii="Arial" w:hAnsi="Arial" w:eastAsia="黑体"/>
      <w:b/>
      <w:sz w:val="28"/>
    </w:rPr>
  </w:style>
  <w:style w:type="character" w:customStyle="1" w:styleId="225">
    <w:name w:val="标题5 Char Char"/>
    <w:link w:val="226"/>
    <w:qFormat/>
    <w:uiPriority w:val="0"/>
    <w:rPr>
      <w:rFonts w:ascii="Arial" w:hAnsi="Arial"/>
      <w:b/>
      <w:sz w:val="32"/>
    </w:rPr>
  </w:style>
  <w:style w:type="paragraph" w:customStyle="1" w:styleId="226">
    <w:name w:val="标题5"/>
    <w:basedOn w:val="4"/>
    <w:link w:val="225"/>
    <w:qFormat/>
    <w:uiPriority w:val="0"/>
    <w:pPr>
      <w:widowControl w:val="0"/>
      <w:spacing w:line="413" w:lineRule="auto"/>
      <w:jc w:val="both"/>
    </w:pPr>
    <w:rPr>
      <w:rFonts w:ascii="Arial" w:hAnsi="Arial"/>
    </w:rPr>
  </w:style>
  <w:style w:type="character" w:customStyle="1" w:styleId="227">
    <w:name w:val="tpc_content1"/>
    <w:qFormat/>
    <w:uiPriority w:val="0"/>
    <w:rPr>
      <w:sz w:val="20"/>
      <w:szCs w:val="20"/>
    </w:rPr>
  </w:style>
  <w:style w:type="character" w:customStyle="1" w:styleId="228">
    <w:name w:val="批注框文本 Char2"/>
    <w:qFormat/>
    <w:uiPriority w:val="0"/>
    <w:rPr>
      <w:kern w:val="2"/>
      <w:sz w:val="18"/>
      <w:szCs w:val="18"/>
    </w:rPr>
  </w:style>
  <w:style w:type="character" w:customStyle="1" w:styleId="229">
    <w:name w:val="Char Char191"/>
    <w:qFormat/>
    <w:uiPriority w:val="0"/>
    <w:rPr>
      <w:rFonts w:ascii="Arial" w:hAnsi="Arial" w:eastAsia="黑体"/>
      <w:sz w:val="24"/>
      <w:szCs w:val="24"/>
    </w:rPr>
  </w:style>
  <w:style w:type="character" w:customStyle="1" w:styleId="230">
    <w:name w:val="Char Char9"/>
    <w:qFormat/>
    <w:uiPriority w:val="0"/>
    <w:rPr>
      <w:kern w:val="2"/>
      <w:sz w:val="22"/>
    </w:rPr>
  </w:style>
  <w:style w:type="character" w:customStyle="1" w:styleId="231">
    <w:name w:val="正文文本缩进 2 Char2"/>
    <w:qFormat/>
    <w:uiPriority w:val="0"/>
    <w:rPr>
      <w:kern w:val="2"/>
      <w:sz w:val="21"/>
      <w:szCs w:val="22"/>
    </w:rPr>
  </w:style>
  <w:style w:type="character" w:customStyle="1" w:styleId="232">
    <w:name w:val="Char Char231"/>
    <w:qFormat/>
    <w:uiPriority w:val="0"/>
    <w:rPr>
      <w:rFonts w:hint="default" w:ascii="Cambria" w:hAnsi="Cambria" w:eastAsia="仿宋"/>
      <w:b/>
      <w:bCs/>
      <w:kern w:val="32"/>
      <w:sz w:val="48"/>
      <w:szCs w:val="32"/>
      <w:lang w:eastAsia="en-US" w:bidi="en-US"/>
    </w:rPr>
  </w:style>
  <w:style w:type="character" w:customStyle="1" w:styleId="233">
    <w:name w:val="Heading 1 Char_db06c096-389a-44ec-86ec-7a4a552e94c7"/>
    <w:qFormat/>
    <w:uiPriority w:val="0"/>
    <w:rPr>
      <w:rFonts w:cs="Times New Roman"/>
      <w:sz w:val="44"/>
      <w:szCs w:val="44"/>
    </w:rPr>
  </w:style>
  <w:style w:type="character" w:customStyle="1" w:styleId="234">
    <w:name w:val="Char Char41"/>
    <w:qFormat/>
    <w:uiPriority w:val="0"/>
    <w:rPr>
      <w:rFonts w:ascii="Arial" w:hAnsi="Arial" w:eastAsia="黑体"/>
      <w:b/>
      <w:bCs/>
      <w:kern w:val="2"/>
      <w:sz w:val="32"/>
      <w:szCs w:val="32"/>
      <w:lang w:val="en-US" w:eastAsia="zh-CN" w:bidi="ar-SA"/>
    </w:rPr>
  </w:style>
  <w:style w:type="character" w:customStyle="1" w:styleId="235">
    <w:name w:val="正文文本缩进 Char2"/>
    <w:qFormat/>
    <w:uiPriority w:val="0"/>
  </w:style>
  <w:style w:type="character" w:customStyle="1" w:styleId="236">
    <w:name w:val="Body Text Indent 2 Char"/>
    <w:qFormat/>
    <w:uiPriority w:val="0"/>
    <w:rPr>
      <w:rFonts w:ascii="Times New Roman" w:hAnsi="Times New Roman" w:eastAsia="宋体" w:cs="Times New Roman"/>
      <w:kern w:val="0"/>
      <w:sz w:val="20"/>
      <w:szCs w:val="20"/>
    </w:rPr>
  </w:style>
  <w:style w:type="character" w:customStyle="1" w:styleId="237">
    <w:name w:val="style11"/>
    <w:qFormat/>
    <w:uiPriority w:val="0"/>
    <w:rPr>
      <w:b/>
      <w:bCs/>
    </w:rPr>
  </w:style>
  <w:style w:type="character" w:customStyle="1" w:styleId="238">
    <w:name w:val="日期 Char1"/>
    <w:qFormat/>
    <w:uiPriority w:val="0"/>
    <w:rPr>
      <w:kern w:val="2"/>
      <w:sz w:val="22"/>
    </w:rPr>
  </w:style>
  <w:style w:type="character" w:customStyle="1" w:styleId="239">
    <w:name w:val="css11"/>
    <w:qFormat/>
    <w:uiPriority w:val="0"/>
    <w:rPr>
      <w:rFonts w:cs="Times New Roman"/>
      <w:color w:val="000000"/>
      <w:spacing w:val="360"/>
      <w:sz w:val="18"/>
      <w:szCs w:val="18"/>
    </w:rPr>
  </w:style>
  <w:style w:type="character" w:customStyle="1" w:styleId="240">
    <w:name w:val="不明显参考11"/>
    <w:qFormat/>
    <w:uiPriority w:val="0"/>
    <w:rPr>
      <w:smallCaps/>
      <w:color w:val="C0504D"/>
      <w:u w:val="single"/>
    </w:rPr>
  </w:style>
  <w:style w:type="character" w:customStyle="1" w:styleId="241">
    <w:name w:val="Char Char1611"/>
    <w:qFormat/>
    <w:uiPriority w:val="0"/>
    <w:rPr>
      <w:rFonts w:eastAsia="宋体"/>
      <w:b/>
      <w:bCs/>
      <w:kern w:val="44"/>
      <w:sz w:val="44"/>
      <w:szCs w:val="44"/>
      <w:lang w:val="en-US" w:eastAsia="zh-CN" w:bidi="ar-SA"/>
    </w:rPr>
  </w:style>
  <w:style w:type="character" w:customStyle="1" w:styleId="242">
    <w:name w:val="无间隔 字符"/>
    <w:link w:val="243"/>
    <w:qFormat/>
    <w:uiPriority w:val="0"/>
    <w:rPr>
      <w:sz w:val="24"/>
      <w:szCs w:val="32"/>
      <w:lang w:eastAsia="en-US" w:bidi="en-US"/>
    </w:rPr>
  </w:style>
  <w:style w:type="paragraph" w:styleId="243">
    <w:name w:val="No Spacing"/>
    <w:basedOn w:val="1"/>
    <w:link w:val="242"/>
    <w:qFormat/>
    <w:uiPriority w:val="0"/>
    <w:rPr>
      <w:sz w:val="24"/>
      <w:szCs w:val="32"/>
      <w:lang w:eastAsia="en-US" w:bidi="en-US"/>
    </w:rPr>
  </w:style>
  <w:style w:type="character" w:customStyle="1" w:styleId="244">
    <w:name w:val="Body Text Indent Char"/>
    <w:qFormat/>
    <w:uiPriority w:val="0"/>
    <w:rPr>
      <w:rFonts w:eastAsia="宋体"/>
    </w:rPr>
  </w:style>
  <w:style w:type="character" w:customStyle="1" w:styleId="245">
    <w:name w:val="批注主题 Char3"/>
    <w:qFormat/>
    <w:uiPriority w:val="0"/>
    <w:rPr>
      <w:rFonts w:hint="default" w:ascii="Calibri" w:hAnsi="Calibri" w:eastAsia="宋体" w:cs="Times New Roman"/>
      <w:b/>
      <w:bCs/>
    </w:rPr>
  </w:style>
  <w:style w:type="character" w:customStyle="1" w:styleId="246">
    <w:name w:val="Char Char20"/>
    <w:qFormat/>
    <w:uiPriority w:val="0"/>
    <w:rPr>
      <w:b/>
      <w:bCs/>
      <w:sz w:val="28"/>
      <w:szCs w:val="28"/>
    </w:rPr>
  </w:style>
  <w:style w:type="character" w:customStyle="1" w:styleId="247">
    <w:name w:val="页眉 Char3"/>
    <w:qFormat/>
    <w:uiPriority w:val="0"/>
    <w:rPr>
      <w:kern w:val="2"/>
      <w:sz w:val="18"/>
      <w:szCs w:val="18"/>
    </w:rPr>
  </w:style>
  <w:style w:type="character" w:customStyle="1" w:styleId="248">
    <w:name w:val="_Style 298"/>
    <w:qFormat/>
    <w:uiPriority w:val="0"/>
    <w:rPr>
      <w:rFonts w:hint="default" w:ascii="Cambria" w:hAnsi="Cambria" w:eastAsia="宋体"/>
      <w:b/>
      <w:i/>
      <w:sz w:val="24"/>
      <w:szCs w:val="24"/>
    </w:rPr>
  </w:style>
  <w:style w:type="character" w:customStyle="1" w:styleId="249">
    <w:name w:val="引用 字符"/>
    <w:link w:val="250"/>
    <w:qFormat/>
    <w:uiPriority w:val="0"/>
    <w:rPr>
      <w:i/>
      <w:iCs/>
      <w:color w:val="000000"/>
    </w:rPr>
  </w:style>
  <w:style w:type="paragraph" w:styleId="250">
    <w:name w:val="Quote"/>
    <w:basedOn w:val="1"/>
    <w:next w:val="1"/>
    <w:link w:val="249"/>
    <w:qFormat/>
    <w:uiPriority w:val="0"/>
    <w:rPr>
      <w:i/>
      <w:iCs/>
      <w:color w:val="000000"/>
    </w:rPr>
  </w:style>
  <w:style w:type="character" w:customStyle="1" w:styleId="251">
    <w:name w:val="引用 Char2"/>
    <w:qFormat/>
    <w:uiPriority w:val="0"/>
    <w:rPr>
      <w:i/>
      <w:iCs/>
      <w:color w:val="000000"/>
    </w:rPr>
  </w:style>
  <w:style w:type="character" w:customStyle="1" w:styleId="252">
    <w:name w:val="日期 Char3"/>
    <w:qFormat/>
    <w:uiPriority w:val="0"/>
    <w:rPr>
      <w:rFonts w:hint="default" w:ascii="Calibri" w:hAnsi="Calibri" w:eastAsia="宋体" w:cs="Times New Roman"/>
    </w:rPr>
  </w:style>
  <w:style w:type="character" w:customStyle="1" w:styleId="253">
    <w:name w:val="批注文字 Char Char"/>
    <w:qFormat/>
    <w:uiPriority w:val="0"/>
    <w:rPr>
      <w:rFonts w:ascii="宋体" w:hAnsi="Times New Roman" w:eastAsia="宋体"/>
      <w:sz w:val="20"/>
    </w:rPr>
  </w:style>
  <w:style w:type="character" w:customStyle="1" w:styleId="254">
    <w:name w:val="页脚 Char Char"/>
    <w:qFormat/>
    <w:uiPriority w:val="0"/>
    <w:rPr>
      <w:sz w:val="18"/>
    </w:rPr>
  </w:style>
  <w:style w:type="character" w:customStyle="1" w:styleId="255">
    <w:name w:val="公文文号"/>
    <w:qFormat/>
    <w:uiPriority w:val="0"/>
    <w:rPr>
      <w:rFonts w:eastAsia="仿宋_GB2312"/>
      <w:sz w:val="32"/>
    </w:rPr>
  </w:style>
  <w:style w:type="character" w:customStyle="1" w:styleId="256">
    <w:name w:val="Char Char151"/>
    <w:qFormat/>
    <w:uiPriority w:val="0"/>
    <w:rPr>
      <w:rFonts w:eastAsia="宋体"/>
      <w:b/>
      <w:bCs/>
      <w:kern w:val="2"/>
      <w:sz w:val="32"/>
      <w:szCs w:val="32"/>
      <w:lang w:val="en-US" w:eastAsia="zh-CN" w:bidi="ar-SA"/>
    </w:rPr>
  </w:style>
  <w:style w:type="character" w:customStyle="1" w:styleId="257">
    <w:name w:val="页码11"/>
    <w:qFormat/>
    <w:uiPriority w:val="0"/>
    <w:rPr>
      <w:rFonts w:cs="Times New Roman"/>
    </w:rPr>
  </w:style>
  <w:style w:type="character" w:customStyle="1" w:styleId="258">
    <w:name w:val="页脚 Char3"/>
    <w:qFormat/>
    <w:uiPriority w:val="0"/>
    <w:rPr>
      <w:kern w:val="2"/>
      <w:sz w:val="18"/>
      <w:szCs w:val="18"/>
    </w:rPr>
  </w:style>
  <w:style w:type="character" w:customStyle="1" w:styleId="259">
    <w:name w:val="help_intro1"/>
    <w:qFormat/>
    <w:uiPriority w:val="0"/>
    <w:rPr>
      <w:rFonts w:cs="Times New Roman"/>
      <w:bdr w:val="dashed" w:color="auto" w:sz="6" w:space="0"/>
    </w:rPr>
  </w:style>
  <w:style w:type="character" w:customStyle="1" w:styleId="260">
    <w:name w:val="脚注文本 Char1"/>
    <w:qFormat/>
    <w:uiPriority w:val="0"/>
    <w:rPr>
      <w:sz w:val="18"/>
      <w:szCs w:val="18"/>
    </w:rPr>
  </w:style>
  <w:style w:type="character" w:customStyle="1" w:styleId="261">
    <w:name w:val="Plain Text Char Char"/>
    <w:qFormat/>
    <w:uiPriority w:val="0"/>
    <w:rPr>
      <w:rFonts w:ascii="宋体" w:hAnsi="Courier New" w:eastAsia="宋体"/>
      <w:sz w:val="21"/>
    </w:rPr>
  </w:style>
  <w:style w:type="character" w:customStyle="1" w:styleId="262">
    <w:name w:val="Book Title1"/>
    <w:qFormat/>
    <w:uiPriority w:val="0"/>
    <w:rPr>
      <w:b/>
      <w:smallCaps/>
      <w:spacing w:val="5"/>
    </w:rPr>
  </w:style>
  <w:style w:type="character" w:customStyle="1" w:styleId="263">
    <w:name w:val="明显引用 字符"/>
    <w:link w:val="264"/>
    <w:qFormat/>
    <w:uiPriority w:val="0"/>
    <w:rPr>
      <w:rFonts w:ascii="Calibri" w:hAnsi="Calibri"/>
      <w:b/>
      <w:i/>
      <w:sz w:val="24"/>
      <w:szCs w:val="22"/>
      <w:lang w:eastAsia="en-US" w:bidi="en-US"/>
    </w:rPr>
  </w:style>
  <w:style w:type="paragraph" w:styleId="264">
    <w:name w:val="Intense Quote"/>
    <w:basedOn w:val="1"/>
    <w:next w:val="1"/>
    <w:link w:val="263"/>
    <w:qFormat/>
    <w:uiPriority w:val="0"/>
    <w:pPr>
      <w:ind w:left="720" w:right="720"/>
    </w:pPr>
    <w:rPr>
      <w:rFonts w:ascii="Calibri" w:hAnsi="Calibri"/>
      <w:b/>
      <w:i/>
      <w:sz w:val="24"/>
      <w:szCs w:val="22"/>
      <w:lang w:eastAsia="en-US" w:bidi="en-US"/>
    </w:rPr>
  </w:style>
  <w:style w:type="character" w:customStyle="1" w:styleId="265">
    <w:name w:val="Char Char17"/>
    <w:qFormat/>
    <w:uiPriority w:val="0"/>
    <w:rPr>
      <w:rFonts w:ascii="Cambria" w:hAnsi="Cambria" w:eastAsia="宋体"/>
      <w:b/>
      <w:kern w:val="2"/>
      <w:sz w:val="32"/>
    </w:rPr>
  </w:style>
  <w:style w:type="character" w:customStyle="1" w:styleId="266">
    <w:name w:val="页脚 Char1"/>
    <w:uiPriority w:val="0"/>
    <w:rPr>
      <w:kern w:val="2"/>
      <w:sz w:val="18"/>
      <w:szCs w:val="18"/>
    </w:rPr>
  </w:style>
  <w:style w:type="character" w:customStyle="1" w:styleId="267">
    <w:name w:val="15"/>
    <w:qFormat/>
    <w:uiPriority w:val="0"/>
    <w:rPr>
      <w:rFonts w:hint="default" w:ascii="Times New Roman" w:hAnsi="Times New Roman"/>
      <w:b/>
      <w:sz w:val="20"/>
    </w:rPr>
  </w:style>
  <w:style w:type="character" w:customStyle="1" w:styleId="268">
    <w:name w:val="Intense Emphasis1"/>
    <w:qFormat/>
    <w:uiPriority w:val="0"/>
    <w:rPr>
      <w:b/>
      <w:i/>
      <w:color w:val="4F81BD"/>
    </w:rPr>
  </w:style>
  <w:style w:type="character" w:customStyle="1" w:styleId="269">
    <w:name w:val="Char Char131"/>
    <w:qFormat/>
    <w:uiPriority w:val="0"/>
    <w:rPr>
      <w:rFonts w:eastAsia="宋体"/>
    </w:rPr>
  </w:style>
  <w:style w:type="character" w:customStyle="1" w:styleId="270">
    <w:name w:val="H4 Char"/>
    <w:qFormat/>
    <w:uiPriority w:val="0"/>
    <w:rPr>
      <w:rFonts w:ascii="Arial" w:hAnsi="Arial" w:eastAsia="黑体"/>
      <w:b/>
      <w:bCs/>
      <w:kern w:val="2"/>
      <w:sz w:val="28"/>
      <w:szCs w:val="28"/>
      <w:lang w:val="en-US" w:eastAsia="zh-CN" w:bidi="ar-SA"/>
    </w:rPr>
  </w:style>
  <w:style w:type="character" w:customStyle="1" w:styleId="271">
    <w:name w:val="Subtle Emphasis1"/>
    <w:qFormat/>
    <w:uiPriority w:val="0"/>
    <w:rPr>
      <w:i/>
      <w:color w:val="808080"/>
    </w:rPr>
  </w:style>
  <w:style w:type="character" w:customStyle="1" w:styleId="272">
    <w:name w:val="日期 Char4"/>
    <w:qFormat/>
    <w:uiPriority w:val="0"/>
    <w:rPr>
      <w:kern w:val="2"/>
      <w:sz w:val="21"/>
      <w:szCs w:val="22"/>
    </w:rPr>
  </w:style>
  <w:style w:type="character" w:customStyle="1" w:styleId="273">
    <w:name w:val="Intense Quote Char2"/>
    <w:qFormat/>
    <w:uiPriority w:val="0"/>
    <w:rPr>
      <w:rFonts w:ascii="Calibri" w:hAnsi="Calibri"/>
      <w:b/>
      <w:i/>
      <w:color w:val="4F81BD"/>
    </w:rPr>
  </w:style>
  <w:style w:type="character" w:customStyle="1" w:styleId="274">
    <w:name w:val="javascript"/>
    <w:qFormat/>
    <w:uiPriority w:val="0"/>
  </w:style>
  <w:style w:type="character" w:customStyle="1" w:styleId="275">
    <w:name w:val="font21"/>
    <w:qFormat/>
    <w:uiPriority w:val="0"/>
    <w:rPr>
      <w:rFonts w:hint="eastAsia" w:ascii="宋体" w:hAnsi="宋体" w:eastAsia="宋体"/>
      <w:color w:val="000000"/>
      <w:sz w:val="22"/>
      <w:szCs w:val="22"/>
    </w:rPr>
  </w:style>
  <w:style w:type="character" w:customStyle="1" w:styleId="276">
    <w:name w:val="Char Char24"/>
    <w:qFormat/>
    <w:uiPriority w:val="0"/>
    <w:rPr>
      <w:rFonts w:ascii="Times New Roman" w:hAnsi="Times New Roman" w:eastAsia="宋体" w:cs="Times New Roman"/>
      <w:b/>
      <w:bCs/>
      <w:kern w:val="0"/>
      <w:sz w:val="32"/>
      <w:szCs w:val="32"/>
    </w:rPr>
  </w:style>
  <w:style w:type="character" w:customStyle="1" w:styleId="277">
    <w:name w:val="Char Char7"/>
    <w:qFormat/>
    <w:uiPriority w:val="0"/>
    <w:rPr>
      <w:rFonts w:ascii="Arial" w:hAnsi="Arial" w:eastAsia="黑体"/>
      <w:b/>
      <w:bCs/>
      <w:kern w:val="2"/>
      <w:sz w:val="32"/>
      <w:szCs w:val="32"/>
      <w:lang w:val="en-US" w:eastAsia="zh-CN" w:bidi="ar-SA"/>
    </w:rPr>
  </w:style>
  <w:style w:type="character" w:customStyle="1" w:styleId="278">
    <w:name w:val="标题 Char3"/>
    <w:qFormat/>
    <w:uiPriority w:val="0"/>
    <w:rPr>
      <w:rFonts w:ascii="Cambria" w:hAnsi="Cambria" w:cs="Times New Roman"/>
      <w:b/>
      <w:bCs/>
      <w:kern w:val="2"/>
      <w:sz w:val="32"/>
      <w:szCs w:val="32"/>
    </w:rPr>
  </w:style>
  <w:style w:type="character" w:customStyle="1" w:styleId="279">
    <w:name w:val="Char Char261"/>
    <w:qFormat/>
    <w:uiPriority w:val="0"/>
    <w:rPr>
      <w:rFonts w:ascii="Times New Roman" w:hAnsi="Times New Roman" w:eastAsia="宋体" w:cs="Times New Roman"/>
      <w:b/>
      <w:bCs/>
      <w:kern w:val="44"/>
      <w:sz w:val="44"/>
      <w:szCs w:val="44"/>
    </w:rPr>
  </w:style>
  <w:style w:type="character" w:customStyle="1" w:styleId="280">
    <w:name w:val="样式 黑体 小四 自定义颜色(RGB(1500))"/>
    <w:qFormat/>
    <w:uiPriority w:val="0"/>
    <w:rPr>
      <w:rFonts w:ascii="Times New Roman" w:hAnsi="Times New Roman" w:eastAsia="黑体"/>
      <w:color w:val="0F0000"/>
      <w:kern w:val="0"/>
      <w:sz w:val="24"/>
      <w:szCs w:val="24"/>
    </w:rPr>
  </w:style>
  <w:style w:type="character" w:customStyle="1" w:styleId="281">
    <w:name w:val="标题 3 Char Char"/>
    <w:qFormat/>
    <w:uiPriority w:val="0"/>
    <w:rPr>
      <w:rFonts w:ascii="仿宋_GB2312" w:eastAsia="仿宋_GB2312"/>
      <w:b/>
      <w:sz w:val="28"/>
      <w:szCs w:val="28"/>
      <w:lang w:val="en-US" w:eastAsia="zh-CN" w:bidi="ar-SA"/>
    </w:rPr>
  </w:style>
  <w:style w:type="character" w:customStyle="1" w:styleId="282">
    <w:name w:val="Char Char111"/>
    <w:qFormat/>
    <w:uiPriority w:val="0"/>
    <w:rPr>
      <w:b/>
      <w:sz w:val="24"/>
    </w:rPr>
  </w:style>
  <w:style w:type="character" w:customStyle="1" w:styleId="283">
    <w:name w:val="日期 Char2"/>
    <w:qFormat/>
    <w:uiPriority w:val="0"/>
    <w:rPr>
      <w:kern w:val="2"/>
      <w:sz w:val="21"/>
      <w:szCs w:val="22"/>
    </w:rPr>
  </w:style>
  <w:style w:type="character" w:customStyle="1" w:styleId="284">
    <w:name w:val="批注主题 Char2"/>
    <w:qFormat/>
    <w:uiPriority w:val="0"/>
    <w:rPr>
      <w:b/>
      <w:bCs/>
      <w:kern w:val="2"/>
      <w:sz w:val="21"/>
      <w:szCs w:val="22"/>
    </w:rPr>
  </w:style>
  <w:style w:type="character" w:customStyle="1" w:styleId="285">
    <w:name w:val="Subtle Reference1"/>
    <w:qFormat/>
    <w:uiPriority w:val="0"/>
    <w:rPr>
      <w:smallCaps/>
      <w:color w:val="auto"/>
      <w:u w:val="single"/>
    </w:rPr>
  </w:style>
  <w:style w:type="character" w:customStyle="1" w:styleId="286">
    <w:name w:val="Underrubrik1 Char2"/>
    <w:qFormat/>
    <w:uiPriority w:val="0"/>
    <w:rPr>
      <w:rFonts w:ascii="Arial" w:hAnsi="Arial" w:eastAsia="黑体" w:cs="Times New Roman"/>
      <w:b/>
      <w:sz w:val="20"/>
      <w:szCs w:val="20"/>
    </w:rPr>
  </w:style>
  <w:style w:type="character" w:customStyle="1" w:styleId="287">
    <w:name w:val="批注框文本 Char3"/>
    <w:qFormat/>
    <w:uiPriority w:val="0"/>
    <w:rPr>
      <w:rFonts w:hint="default" w:ascii="Calibri" w:hAnsi="Calibri" w:eastAsia="宋体" w:cs="Times New Roman"/>
      <w:sz w:val="18"/>
      <w:szCs w:val="18"/>
    </w:rPr>
  </w:style>
  <w:style w:type="character" w:customStyle="1" w:styleId="288">
    <w:name w:val="文档结构图 Char1"/>
    <w:qFormat/>
    <w:uiPriority w:val="0"/>
    <w:rPr>
      <w:rFonts w:ascii="宋体"/>
      <w:kern w:val="2"/>
      <w:sz w:val="18"/>
      <w:szCs w:val="18"/>
    </w:rPr>
  </w:style>
  <w:style w:type="character" w:customStyle="1" w:styleId="289">
    <w:name w:val="Char Char241"/>
    <w:qFormat/>
    <w:uiPriority w:val="0"/>
    <w:rPr>
      <w:rFonts w:ascii="Times New Roman" w:hAnsi="Times New Roman" w:eastAsia="宋体" w:cs="Times New Roman"/>
      <w:b/>
      <w:bCs/>
      <w:kern w:val="0"/>
      <w:sz w:val="32"/>
      <w:szCs w:val="32"/>
    </w:rPr>
  </w:style>
  <w:style w:type="character" w:customStyle="1" w:styleId="290">
    <w:name w:val="样式 正文文本缩进 + 首行缩进:  2 字符 Char Char"/>
    <w:qFormat/>
    <w:uiPriority w:val="0"/>
    <w:rPr>
      <w:rFonts w:eastAsia="宋体" w:cs="宋体"/>
      <w:sz w:val="24"/>
      <w:szCs w:val="24"/>
      <w:lang w:val="en-US" w:eastAsia="zh-CN" w:bidi="ar-SA"/>
    </w:rPr>
  </w:style>
  <w:style w:type="character" w:customStyle="1" w:styleId="291">
    <w:name w:val="Char Char6"/>
    <w:qFormat/>
    <w:uiPriority w:val="0"/>
    <w:rPr>
      <w:rFonts w:ascii="Calibri" w:hAnsi="Calibri" w:eastAsia="宋体"/>
      <w:b/>
      <w:bCs/>
      <w:kern w:val="2"/>
      <w:sz w:val="32"/>
      <w:szCs w:val="32"/>
      <w:lang w:val="en-US" w:eastAsia="zh-CN" w:bidi="ar-SA"/>
    </w:rPr>
  </w:style>
  <w:style w:type="character" w:customStyle="1" w:styleId="292">
    <w:name w:val="fn org"/>
    <w:qFormat/>
    <w:uiPriority w:val="0"/>
  </w:style>
  <w:style w:type="character" w:customStyle="1" w:styleId="293">
    <w:name w:val="正文文本 Char2"/>
    <w:qFormat/>
    <w:uiPriority w:val="0"/>
  </w:style>
  <w:style w:type="character" w:customStyle="1" w:styleId="294">
    <w:name w:val="标题1"/>
    <w:qFormat/>
    <w:uiPriority w:val="0"/>
  </w:style>
  <w:style w:type="character" w:customStyle="1" w:styleId="295">
    <w:name w:val="样式5 Char Char"/>
    <w:qFormat/>
    <w:uiPriority w:val="0"/>
    <w:rPr>
      <w:rFonts w:ascii="黑体" w:eastAsia="黑体"/>
      <w:b/>
      <w:kern w:val="2"/>
      <w:sz w:val="32"/>
      <w:szCs w:val="32"/>
    </w:rPr>
  </w:style>
  <w:style w:type="character" w:customStyle="1" w:styleId="296">
    <w:name w:val="Char Char12"/>
    <w:qFormat/>
    <w:uiPriority w:val="0"/>
    <w:rPr>
      <w:rFonts w:ascii="Arial" w:hAnsi="Arial" w:eastAsia="黑体"/>
      <w:b/>
      <w:sz w:val="24"/>
    </w:rPr>
  </w:style>
  <w:style w:type="character" w:customStyle="1" w:styleId="297">
    <w:name w:val="Heading 3 Char_a442e3ae-7c94-44f4-97f5-b6c3b48ce5d4"/>
    <w:qFormat/>
    <w:uiPriority w:val="0"/>
    <w:rPr>
      <w:rFonts w:cs="Times New Roman"/>
      <w:b/>
      <w:bCs/>
      <w:sz w:val="32"/>
      <w:szCs w:val="32"/>
    </w:rPr>
  </w:style>
  <w:style w:type="character" w:customStyle="1" w:styleId="298">
    <w:name w:val="Char Char71"/>
    <w:qFormat/>
    <w:uiPriority w:val="0"/>
    <w:rPr>
      <w:rFonts w:ascii="Arial" w:hAnsi="Arial" w:eastAsia="黑体"/>
      <w:b/>
      <w:bCs/>
      <w:kern w:val="2"/>
      <w:sz w:val="32"/>
      <w:szCs w:val="32"/>
      <w:lang w:val="en-US" w:eastAsia="zh-CN" w:bidi="ar-SA"/>
    </w:rPr>
  </w:style>
  <w:style w:type="character" w:customStyle="1" w:styleId="299">
    <w:name w:val="_Style 172"/>
    <w:qFormat/>
    <w:uiPriority w:val="0"/>
    <w:rPr>
      <w:i/>
      <w:color w:val="5A5A5A"/>
    </w:rPr>
  </w:style>
  <w:style w:type="character" w:customStyle="1" w:styleId="300">
    <w:name w:val="正文文本缩进 3 Char1"/>
    <w:qFormat/>
    <w:uiPriority w:val="0"/>
    <w:rPr>
      <w:rFonts w:ascii="Times New Roman" w:hAnsi="Times New Roman"/>
      <w:sz w:val="16"/>
      <w:szCs w:val="16"/>
    </w:rPr>
  </w:style>
  <w:style w:type="character" w:customStyle="1" w:styleId="301">
    <w:name w:val="标题 Char2"/>
    <w:qFormat/>
    <w:uiPriority w:val="0"/>
    <w:rPr>
      <w:rFonts w:hint="default" w:ascii="Cambria" w:hAnsi="Cambria" w:eastAsia="宋体" w:cs="Times New Roman"/>
      <w:b/>
      <w:bCs/>
      <w:sz w:val="32"/>
      <w:szCs w:val="32"/>
    </w:rPr>
  </w:style>
  <w:style w:type="character" w:customStyle="1" w:styleId="302">
    <w:name w:val="Blockquote Char Char"/>
    <w:qFormat/>
    <w:uiPriority w:val="0"/>
    <w:rPr>
      <w:sz w:val="24"/>
    </w:rPr>
  </w:style>
  <w:style w:type="character" w:customStyle="1" w:styleId="303">
    <w:name w:val="HTML Markup"/>
    <w:qFormat/>
    <w:uiPriority w:val="0"/>
    <w:rPr>
      <w:vanish/>
      <w:color w:val="FF0000"/>
    </w:rPr>
  </w:style>
  <w:style w:type="character" w:customStyle="1" w:styleId="304">
    <w:name w:val="Char Char201"/>
    <w:qFormat/>
    <w:uiPriority w:val="0"/>
    <w:rPr>
      <w:rFonts w:ascii="Times New Roman" w:hAnsi="Times New Roman"/>
      <w:b/>
      <w:bCs/>
      <w:sz w:val="24"/>
      <w:szCs w:val="24"/>
    </w:rPr>
  </w:style>
  <w:style w:type="character" w:customStyle="1" w:styleId="305">
    <w:name w:val="正文文本 Char3"/>
    <w:qFormat/>
    <w:uiPriority w:val="0"/>
    <w:rPr>
      <w:rFonts w:hint="default" w:ascii="Calibri" w:hAnsi="Calibri" w:eastAsia="宋体" w:cs="Times New Roman"/>
    </w:rPr>
  </w:style>
  <w:style w:type="character" w:customStyle="1" w:styleId="306">
    <w:name w:val="sect1.2.3 Char1"/>
    <w:qFormat/>
    <w:uiPriority w:val="0"/>
    <w:rPr>
      <w:rFonts w:eastAsia="宋体"/>
      <w:b/>
      <w:bCs/>
      <w:kern w:val="2"/>
      <w:sz w:val="32"/>
      <w:szCs w:val="32"/>
      <w:lang w:val="en-US" w:eastAsia="zh-CN" w:bidi="ar-SA"/>
    </w:rPr>
  </w:style>
  <w:style w:type="character" w:customStyle="1" w:styleId="307">
    <w:name w:val="l1 Char"/>
    <w:qFormat/>
    <w:uiPriority w:val="0"/>
    <w:rPr>
      <w:rFonts w:eastAsia="宋体"/>
      <w:b/>
      <w:bCs/>
      <w:kern w:val="44"/>
      <w:sz w:val="44"/>
      <w:szCs w:val="44"/>
      <w:lang w:val="en-US" w:eastAsia="zh-CN" w:bidi="ar-SA"/>
    </w:rPr>
  </w:style>
  <w:style w:type="character" w:customStyle="1" w:styleId="308">
    <w:name w:val="Char Char3"/>
    <w:qFormat/>
    <w:uiPriority w:val="0"/>
    <w:rPr>
      <w:rFonts w:hint="eastAsia" w:ascii="宋体" w:hAnsi="宋体" w:eastAsia="宋体"/>
      <w:lang w:val="en-US" w:eastAsia="zh-CN" w:bidi="ar-SA"/>
    </w:rPr>
  </w:style>
  <w:style w:type="character" w:customStyle="1" w:styleId="309">
    <w:name w:val="Balloon Text Char"/>
    <w:qFormat/>
    <w:uiPriority w:val="0"/>
    <w:rPr>
      <w:rFonts w:ascii="Times New Roman" w:hAnsi="Times New Roman" w:eastAsia="宋体" w:cs="Times New Roman"/>
      <w:sz w:val="18"/>
      <w:szCs w:val="18"/>
    </w:rPr>
  </w:style>
  <w:style w:type="character" w:customStyle="1" w:styleId="310">
    <w:name w:val="apple-converted-space"/>
    <w:qFormat/>
    <w:uiPriority w:val="0"/>
  </w:style>
  <w:style w:type="character" w:customStyle="1" w:styleId="311">
    <w:name w:val="正文文本缩进 Char Char"/>
    <w:qFormat/>
    <w:uiPriority w:val="0"/>
    <w:rPr>
      <w:rFonts w:ascii="仿宋_GB2312" w:hAnsi="华文仿宋" w:eastAsia="仿宋_GB2312"/>
      <w:kern w:val="2"/>
      <w:sz w:val="24"/>
      <w:lang w:val="en-US" w:eastAsia="zh-CN" w:bidi="ar-SA"/>
    </w:rPr>
  </w:style>
  <w:style w:type="character" w:customStyle="1" w:styleId="312">
    <w:name w:val="Char Char152"/>
    <w:qFormat/>
    <w:uiPriority w:val="0"/>
    <w:rPr>
      <w:rFonts w:eastAsia="宋体"/>
      <w:b/>
      <w:kern w:val="2"/>
      <w:sz w:val="32"/>
      <w:lang w:val="en-US" w:eastAsia="zh-CN"/>
    </w:rPr>
  </w:style>
  <w:style w:type="character" w:customStyle="1" w:styleId="313">
    <w:name w:val="Date Char"/>
    <w:qFormat/>
    <w:uiPriority w:val="0"/>
    <w:rPr>
      <w:rFonts w:ascii="Times New Roman" w:hAnsi="Times New Roman" w:eastAsia="文鼎报宋" w:cs="Times New Roman"/>
      <w:sz w:val="24"/>
      <w:szCs w:val="24"/>
    </w:rPr>
  </w:style>
  <w:style w:type="character" w:customStyle="1" w:styleId="314">
    <w:name w:val="ggbt1"/>
    <w:qFormat/>
    <w:uiPriority w:val="0"/>
    <w:rPr>
      <w:rFonts w:cs="Times New Roman"/>
      <w:b/>
      <w:bCs/>
      <w:sz w:val="21"/>
      <w:szCs w:val="21"/>
    </w:rPr>
  </w:style>
  <w:style w:type="character" w:customStyle="1" w:styleId="315">
    <w:name w:val="t_tag"/>
    <w:qFormat/>
    <w:uiPriority w:val="0"/>
  </w:style>
  <w:style w:type="character" w:customStyle="1" w:styleId="316">
    <w:name w:val="副标题 Char3"/>
    <w:qFormat/>
    <w:uiPriority w:val="0"/>
    <w:rPr>
      <w:rFonts w:ascii="Cambria" w:hAnsi="Cambria" w:cs="Times New Roman"/>
      <w:b/>
      <w:bCs/>
      <w:kern w:val="28"/>
      <w:sz w:val="32"/>
      <w:szCs w:val="32"/>
    </w:rPr>
  </w:style>
  <w:style w:type="character" w:customStyle="1" w:styleId="317">
    <w:name w:val="Char Char251"/>
    <w:qFormat/>
    <w:uiPriority w:val="0"/>
    <w:rPr>
      <w:rFonts w:ascii="Arial" w:hAnsi="Arial" w:eastAsia="黑体" w:cs="Times New Roman"/>
      <w:b/>
      <w:bCs/>
      <w:kern w:val="0"/>
      <w:sz w:val="32"/>
      <w:szCs w:val="32"/>
    </w:rPr>
  </w:style>
  <w:style w:type="character" w:customStyle="1" w:styleId="318">
    <w:name w:val="unnamed11"/>
    <w:qFormat/>
    <w:uiPriority w:val="0"/>
    <w:rPr>
      <w:rFonts w:hint="eastAsia" w:ascii="宋体" w:hAnsi="宋体" w:eastAsia="宋体"/>
      <w:sz w:val="21"/>
    </w:rPr>
  </w:style>
  <w:style w:type="character" w:customStyle="1" w:styleId="319">
    <w:name w:val="正文文本缩进 3 Char3"/>
    <w:qFormat/>
    <w:uiPriority w:val="0"/>
    <w:rPr>
      <w:kern w:val="2"/>
      <w:sz w:val="16"/>
      <w:szCs w:val="16"/>
    </w:rPr>
  </w:style>
  <w:style w:type="character" w:customStyle="1" w:styleId="320">
    <w:name w:val="trans"/>
    <w:qFormat/>
    <w:uiPriority w:val="0"/>
  </w:style>
  <w:style w:type="character" w:customStyle="1" w:styleId="321">
    <w:name w:val="Char Char91"/>
    <w:qFormat/>
    <w:uiPriority w:val="0"/>
    <w:rPr>
      <w:rFonts w:ascii="Calibri" w:hAnsi="Calibri" w:eastAsia="宋体"/>
      <w:b/>
      <w:bCs/>
      <w:kern w:val="2"/>
      <w:sz w:val="21"/>
      <w:szCs w:val="22"/>
      <w:lang w:val="en-US" w:eastAsia="zh-CN" w:bidi="ar-SA"/>
    </w:rPr>
  </w:style>
  <w:style w:type="character" w:customStyle="1" w:styleId="322">
    <w:name w:val="Char Char122"/>
    <w:qFormat/>
    <w:uiPriority w:val="0"/>
    <w:rPr>
      <w:rFonts w:ascii="Arial" w:hAnsi="Arial" w:eastAsia="黑体"/>
      <w:b/>
      <w:sz w:val="24"/>
    </w:rPr>
  </w:style>
  <w:style w:type="character" w:customStyle="1" w:styleId="323">
    <w:name w:val="l1 Char1"/>
    <w:qFormat/>
    <w:uiPriority w:val="0"/>
    <w:rPr>
      <w:rFonts w:eastAsia="宋体"/>
      <w:b/>
      <w:bCs/>
      <w:kern w:val="44"/>
      <w:sz w:val="44"/>
      <w:szCs w:val="44"/>
      <w:lang w:val="en-US" w:eastAsia="zh-CN" w:bidi="ar-SA"/>
    </w:rPr>
  </w:style>
  <w:style w:type="character" w:customStyle="1" w:styleId="324">
    <w:name w:val="grame"/>
    <w:qFormat/>
    <w:uiPriority w:val="0"/>
  </w:style>
  <w:style w:type="character" w:customStyle="1" w:styleId="325">
    <w:name w:val="明显引用 Char2"/>
    <w:qFormat/>
    <w:uiPriority w:val="0"/>
    <w:rPr>
      <w:b/>
      <w:bCs/>
      <w:i/>
      <w:iCs/>
      <w:color w:val="4F81BD"/>
    </w:rPr>
  </w:style>
  <w:style w:type="character" w:customStyle="1" w:styleId="326">
    <w:name w:val="Char Char161"/>
    <w:qFormat/>
    <w:uiPriority w:val="0"/>
    <w:rPr>
      <w:rFonts w:eastAsia="宋体"/>
      <w:b/>
      <w:bCs/>
      <w:kern w:val="44"/>
      <w:sz w:val="44"/>
      <w:szCs w:val="44"/>
      <w:lang w:val="en-US" w:eastAsia="zh-CN" w:bidi="ar-SA"/>
    </w:rPr>
  </w:style>
  <w:style w:type="character" w:customStyle="1" w:styleId="327">
    <w:name w:val="z101"/>
    <w:qFormat/>
    <w:uiPriority w:val="0"/>
    <w:rPr>
      <w:rFonts w:cs="Times New Roman"/>
      <w:spacing w:val="384"/>
      <w:sz w:val="24"/>
      <w:szCs w:val="24"/>
    </w:rPr>
  </w:style>
  <w:style w:type="character" w:customStyle="1" w:styleId="328">
    <w:name w:val="Quote Char1"/>
    <w:qFormat/>
    <w:uiPriority w:val="0"/>
    <w:rPr>
      <w:rFonts w:ascii="Times New Roman" w:hAnsi="Times New Roman"/>
      <w:i/>
      <w:iCs/>
      <w:color w:val="000000"/>
    </w:rPr>
  </w:style>
  <w:style w:type="character" w:customStyle="1" w:styleId="329">
    <w:name w:val="fo Char"/>
    <w:qFormat/>
    <w:uiPriority w:val="0"/>
    <w:rPr>
      <w:rFonts w:eastAsia="宋体"/>
      <w:kern w:val="2"/>
      <w:sz w:val="18"/>
      <w:szCs w:val="18"/>
      <w:lang w:val="en-US" w:eastAsia="zh-CN" w:bidi="ar-SA"/>
    </w:rPr>
  </w:style>
  <w:style w:type="character" w:customStyle="1" w:styleId="330">
    <w:name w:val="Char Char171"/>
    <w:qFormat/>
    <w:uiPriority w:val="0"/>
    <w:rPr>
      <w:sz w:val="24"/>
      <w:szCs w:val="24"/>
    </w:rPr>
  </w:style>
  <w:style w:type="character" w:customStyle="1" w:styleId="331">
    <w:name w:val="Char Char27"/>
    <w:qFormat/>
    <w:uiPriority w:val="0"/>
    <w:rPr>
      <w:rFonts w:eastAsia="宋体"/>
      <w:kern w:val="2"/>
      <w:sz w:val="21"/>
      <w:szCs w:val="24"/>
      <w:lang w:val="en-US" w:eastAsia="zh-CN" w:bidi="ar-SA"/>
    </w:rPr>
  </w:style>
  <w:style w:type="character" w:customStyle="1" w:styleId="332">
    <w:name w:val="signcontent1"/>
    <w:qFormat/>
    <w:uiPriority w:val="0"/>
    <w:rPr>
      <w:rFonts w:ascii="?_GB2312" w:hAnsi="?_GB2312"/>
      <w:color w:val="000000"/>
      <w:sz w:val="23"/>
    </w:rPr>
  </w:style>
  <w:style w:type="character" w:customStyle="1" w:styleId="333">
    <w:name w:val="strong[data-v-9be4186e]"/>
    <w:qFormat/>
    <w:uiPriority w:val="0"/>
    <w:rPr>
      <w:b/>
      <w:bCs/>
      <w:color w:val="1F2329"/>
      <w:sz w:val="36"/>
      <w:szCs w:val="36"/>
    </w:rPr>
  </w:style>
  <w:style w:type="character" w:customStyle="1" w:styleId="334">
    <w:name w:val="Heading 2 Char_b208d4e7-8fb3-41c1-a4ac-b64a56c88ba5"/>
    <w:qFormat/>
    <w:uiPriority w:val="0"/>
    <w:rPr>
      <w:rFonts w:ascii="Arial" w:hAnsi="Arial" w:cs="Arial"/>
      <w:kern w:val="0"/>
      <w:sz w:val="44"/>
      <w:szCs w:val="44"/>
    </w:rPr>
  </w:style>
  <w:style w:type="character" w:customStyle="1" w:styleId="335">
    <w:name w:val="方案正文 Char Char"/>
    <w:link w:val="336"/>
    <w:qFormat/>
    <w:uiPriority w:val="0"/>
    <w:rPr>
      <w:rFonts w:ascii="宋体" w:hAnsi="Arial"/>
      <w:kern w:val="2"/>
      <w:sz w:val="21"/>
      <w:szCs w:val="21"/>
    </w:rPr>
  </w:style>
  <w:style w:type="paragraph" w:customStyle="1" w:styleId="336">
    <w:name w:val="方案正文"/>
    <w:basedOn w:val="1"/>
    <w:link w:val="335"/>
    <w:qFormat/>
    <w:uiPriority w:val="0"/>
    <w:pPr>
      <w:widowControl w:val="0"/>
      <w:spacing w:before="156" w:beforeLines="50" w:after="156" w:afterLines="50" w:line="360" w:lineRule="auto"/>
      <w:ind w:firstLine="420" w:firstLineChars="200"/>
      <w:jc w:val="both"/>
    </w:pPr>
    <w:rPr>
      <w:rFonts w:ascii="宋体" w:hAnsi="Arial"/>
      <w:kern w:val="2"/>
      <w:sz w:val="21"/>
      <w:szCs w:val="21"/>
    </w:rPr>
  </w:style>
  <w:style w:type="character" w:customStyle="1" w:styleId="337">
    <w:name w:val="页眉 Char2"/>
    <w:qFormat/>
    <w:uiPriority w:val="0"/>
    <w:rPr>
      <w:kern w:val="2"/>
      <w:sz w:val="18"/>
      <w:szCs w:val="18"/>
    </w:rPr>
  </w:style>
  <w:style w:type="character" w:customStyle="1" w:styleId="338">
    <w:name w:val="批注框文本 Char1"/>
    <w:qFormat/>
    <w:uiPriority w:val="0"/>
    <w:rPr>
      <w:kern w:val="2"/>
      <w:sz w:val="18"/>
    </w:rPr>
  </w:style>
  <w:style w:type="character" w:customStyle="1" w:styleId="339">
    <w:name w:val="Char Char81"/>
    <w:uiPriority w:val="0"/>
    <w:rPr>
      <w:rFonts w:ascii="Arial" w:hAnsi="Arial" w:eastAsia="黑体"/>
      <w:b/>
      <w:bCs/>
      <w:kern w:val="2"/>
      <w:sz w:val="32"/>
      <w:szCs w:val="32"/>
      <w:lang w:val="en-US" w:eastAsia="zh-CN" w:bidi="ar-SA"/>
    </w:rPr>
  </w:style>
  <w:style w:type="character" w:customStyle="1" w:styleId="340">
    <w:name w:val="不明显强调11"/>
    <w:qFormat/>
    <w:uiPriority w:val="0"/>
    <w:rPr>
      <w:i/>
      <w:iCs/>
      <w:color w:val="808080"/>
    </w:rPr>
  </w:style>
  <w:style w:type="character" w:customStyle="1" w:styleId="341">
    <w:name w:val="明显引用 Char3"/>
    <w:qFormat/>
    <w:uiPriority w:val="0"/>
    <w:rPr>
      <w:rFonts w:ascii="Times New Roman" w:hAnsi="Times New Roman"/>
      <w:b/>
      <w:bCs/>
      <w:i/>
      <w:iCs/>
      <w:color w:val="4F81BD"/>
    </w:rPr>
  </w:style>
  <w:style w:type="paragraph" w:customStyle="1" w:styleId="342">
    <w:name w:val="样式7"/>
    <w:basedOn w:val="343"/>
    <w:uiPriority w:val="0"/>
  </w:style>
  <w:style w:type="paragraph" w:customStyle="1" w:styleId="343">
    <w:name w:val="表格内容"/>
    <w:basedOn w:val="1"/>
    <w:qFormat/>
    <w:uiPriority w:val="0"/>
    <w:pPr>
      <w:spacing w:line="260" w:lineRule="exact"/>
      <w:jc w:val="center"/>
    </w:pPr>
  </w:style>
  <w:style w:type="paragraph" w:customStyle="1" w:styleId="344">
    <w:name w:val="P3"/>
    <w:qFormat/>
    <w:uiPriority w:val="0"/>
    <w:pPr>
      <w:widowControl w:val="0"/>
      <w:adjustRightInd w:val="0"/>
      <w:spacing w:after="240" w:line="240" w:lineRule="atLeast"/>
      <w:ind w:left="2880" w:hanging="576"/>
      <w:jc w:val="both"/>
      <w:textAlignment w:val="baseline"/>
    </w:pPr>
    <w:rPr>
      <w:rFonts w:ascii="Times New Roman" w:hAnsi="Times New Roman" w:eastAsia="全真中明體" w:cs="Times New Roman"/>
      <w:spacing w:val="30"/>
      <w:sz w:val="24"/>
      <w:lang w:val="en-GB" w:eastAsia="zh-TW" w:bidi="ar-SA"/>
    </w:rPr>
  </w:style>
  <w:style w:type="paragraph" w:customStyle="1" w:styleId="345">
    <w:name w:val="Char2"/>
    <w:basedOn w:val="17"/>
    <w:next w:val="1"/>
    <w:qFormat/>
    <w:uiPriority w:val="0"/>
    <w:pPr>
      <w:widowControl w:val="0"/>
      <w:shd w:val="clear" w:color="auto" w:fill="000080"/>
      <w:jc w:val="both"/>
    </w:pPr>
    <w:rPr>
      <w:rFonts w:ascii="Tahoma" w:hAnsi="Tahoma"/>
      <w:kern w:val="2"/>
      <w:sz w:val="24"/>
      <w:szCs w:val="24"/>
    </w:rPr>
  </w:style>
  <w:style w:type="paragraph" w:customStyle="1" w:styleId="346">
    <w:name w:val="_Style 382"/>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7">
    <w:name w:val="合同文本"/>
    <w:basedOn w:val="1"/>
    <w:qFormat/>
    <w:uiPriority w:val="0"/>
    <w:pPr>
      <w:widowControl w:val="0"/>
      <w:snapToGrid w:val="0"/>
      <w:spacing w:line="360" w:lineRule="auto"/>
      <w:ind w:firstLine="425" w:firstLineChars="177"/>
      <w:jc w:val="both"/>
    </w:pPr>
    <w:rPr>
      <w:rFonts w:ascii="宋体" w:hAnsi="宋体"/>
      <w:kern w:val="2"/>
      <w:sz w:val="21"/>
      <w:szCs w:val="21"/>
    </w:rPr>
  </w:style>
  <w:style w:type="paragraph" w:customStyle="1" w:styleId="348">
    <w:name w:val="CM77"/>
    <w:basedOn w:val="102"/>
    <w:next w:val="102"/>
    <w:qFormat/>
    <w:uiPriority w:val="0"/>
    <w:pPr>
      <w:adjustRightInd w:val="0"/>
    </w:pPr>
    <w:rPr>
      <w:rFonts w:hAnsi="Calibri"/>
      <w:color w:val="auto"/>
      <w:szCs w:val="24"/>
    </w:rPr>
  </w:style>
  <w:style w:type="paragraph" w:customStyle="1" w:styleId="349">
    <w:name w:val="彩色列表 - 强调文字颜色 11"/>
    <w:basedOn w:val="1"/>
    <w:qFormat/>
    <w:uiPriority w:val="0"/>
    <w:pPr>
      <w:widowControl w:val="0"/>
      <w:ind w:firstLine="420" w:firstLineChars="200"/>
      <w:jc w:val="both"/>
    </w:pPr>
    <w:rPr>
      <w:rFonts w:ascii="Calibri" w:hAnsi="Calibri"/>
      <w:kern w:val="2"/>
      <w:sz w:val="21"/>
      <w:szCs w:val="22"/>
    </w:rPr>
  </w:style>
  <w:style w:type="paragraph" w:customStyle="1" w:styleId="350">
    <w:name w:val="flNote"/>
    <w:basedOn w:val="1"/>
    <w:qFormat/>
    <w:uiPriority w:val="0"/>
    <w:pPr>
      <w:widowControl w:val="0"/>
      <w:adjustRightInd w:val="0"/>
      <w:spacing w:before="320" w:after="160" w:line="360" w:lineRule="atLeast"/>
      <w:jc w:val="center"/>
      <w:textAlignment w:val="baseline"/>
    </w:pPr>
    <w:rPr>
      <w:rFonts w:ascii="Arial" w:eastAsia="黑体"/>
      <w:sz w:val="30"/>
    </w:rPr>
  </w:style>
  <w:style w:type="paragraph" w:customStyle="1" w:styleId="351">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eastAsia="Arial Unicode MS"/>
      <w:sz w:val="18"/>
      <w:szCs w:val="18"/>
    </w:rPr>
  </w:style>
  <w:style w:type="paragraph" w:customStyle="1" w:styleId="352">
    <w:name w:val="CM84"/>
    <w:basedOn w:val="102"/>
    <w:next w:val="102"/>
    <w:qFormat/>
    <w:uiPriority w:val="0"/>
    <w:pPr>
      <w:adjustRightInd w:val="0"/>
      <w:spacing w:line="396" w:lineRule="atLeast"/>
    </w:pPr>
    <w:rPr>
      <w:rFonts w:hAnsi="Calibri"/>
      <w:color w:val="auto"/>
      <w:szCs w:val="24"/>
    </w:rPr>
  </w:style>
  <w:style w:type="paragraph" w:customStyle="1" w:styleId="353">
    <w:name w:val="CM32"/>
    <w:basedOn w:val="102"/>
    <w:next w:val="102"/>
    <w:qFormat/>
    <w:uiPriority w:val="0"/>
    <w:pPr>
      <w:adjustRightInd w:val="0"/>
      <w:spacing w:line="400" w:lineRule="atLeast"/>
    </w:pPr>
    <w:rPr>
      <w:rFonts w:hAnsi="Calibri"/>
      <w:color w:val="auto"/>
      <w:szCs w:val="24"/>
    </w:rPr>
  </w:style>
  <w:style w:type="paragraph" w:customStyle="1" w:styleId="354">
    <w:name w:val="段"/>
    <w:qFormat/>
    <w:uiPriority w:val="0"/>
    <w:pPr>
      <w:ind w:firstLine="200" w:firstLineChars="200"/>
      <w:jc w:val="both"/>
    </w:pPr>
    <w:rPr>
      <w:rFonts w:ascii="宋体" w:hAnsi="Times New Roman" w:eastAsia="宋体" w:cs="Times New Roman"/>
      <w:sz w:val="21"/>
      <w:lang w:val="en-US" w:eastAsia="zh-CN" w:bidi="ar-SA"/>
    </w:rPr>
  </w:style>
  <w:style w:type="paragraph" w:customStyle="1" w:styleId="355">
    <w:name w:val="CM99"/>
    <w:basedOn w:val="102"/>
    <w:next w:val="102"/>
    <w:qFormat/>
    <w:uiPriority w:val="0"/>
    <w:pPr>
      <w:adjustRightInd w:val="0"/>
      <w:spacing w:line="408" w:lineRule="atLeast"/>
    </w:pPr>
    <w:rPr>
      <w:rFonts w:hAnsi="Calibri"/>
      <w:color w:val="auto"/>
      <w:szCs w:val="24"/>
    </w:rPr>
  </w:style>
  <w:style w:type="paragraph" w:customStyle="1" w:styleId="356">
    <w:name w:val="CM176"/>
    <w:basedOn w:val="102"/>
    <w:next w:val="102"/>
    <w:qFormat/>
    <w:uiPriority w:val="0"/>
    <w:pPr>
      <w:adjustRightInd w:val="0"/>
    </w:pPr>
    <w:rPr>
      <w:rFonts w:hAnsi="Calibri"/>
      <w:color w:val="auto"/>
      <w:szCs w:val="24"/>
    </w:rPr>
  </w:style>
  <w:style w:type="paragraph" w:customStyle="1" w:styleId="357">
    <w:name w:val="题1"/>
    <w:basedOn w:val="1"/>
    <w:qFormat/>
    <w:uiPriority w:val="0"/>
    <w:pPr>
      <w:widowControl w:val="0"/>
      <w:adjustRightInd w:val="0"/>
      <w:spacing w:after="60"/>
      <w:ind w:firstLine="510"/>
      <w:jc w:val="both"/>
      <w:textAlignment w:val="baseline"/>
    </w:pPr>
    <w:rPr>
      <w:rFonts w:ascii="楷体_GB2312" w:eastAsia="楷体_GB2312"/>
      <w:b/>
      <w:spacing w:val="15"/>
      <w:sz w:val="21"/>
    </w:rPr>
  </w:style>
  <w:style w:type="paragraph" w:customStyle="1" w:styleId="358">
    <w:name w:val="CM69"/>
    <w:basedOn w:val="102"/>
    <w:next w:val="102"/>
    <w:qFormat/>
    <w:uiPriority w:val="0"/>
    <w:pPr>
      <w:adjustRightInd w:val="0"/>
      <w:spacing w:line="400" w:lineRule="atLeast"/>
    </w:pPr>
    <w:rPr>
      <w:rFonts w:hAnsi="Calibri"/>
      <w:color w:val="auto"/>
      <w:szCs w:val="24"/>
    </w:rPr>
  </w:style>
  <w:style w:type="paragraph" w:customStyle="1" w:styleId="359">
    <w:name w:val="TOC 标题1"/>
    <w:basedOn w:val="2"/>
    <w:next w:val="1"/>
    <w:qFormat/>
    <w:uiPriority w:val="0"/>
    <w:pPr>
      <w:spacing w:before="480" w:after="0" w:line="276" w:lineRule="auto"/>
      <w:outlineLvl w:val="9"/>
    </w:pPr>
    <w:rPr>
      <w:rFonts w:ascii="Cambria" w:hAnsi="Cambria"/>
      <w:color w:val="365F91"/>
      <w:kern w:val="0"/>
      <w:sz w:val="28"/>
      <w:szCs w:val="28"/>
    </w:rPr>
  </w:style>
  <w:style w:type="paragraph" w:customStyle="1" w:styleId="360">
    <w:name w:val="CM135"/>
    <w:basedOn w:val="102"/>
    <w:next w:val="102"/>
    <w:qFormat/>
    <w:uiPriority w:val="0"/>
    <w:pPr>
      <w:adjustRightInd w:val="0"/>
      <w:spacing w:line="273" w:lineRule="atLeast"/>
    </w:pPr>
    <w:rPr>
      <w:rFonts w:hAnsi="Calibri"/>
      <w:color w:val="auto"/>
      <w:szCs w:val="24"/>
    </w:rPr>
  </w:style>
  <w:style w:type="paragraph" w:customStyle="1" w:styleId="361">
    <w:name w:val="修订1"/>
    <w:qFormat/>
    <w:uiPriority w:val="0"/>
    <w:rPr>
      <w:rFonts w:ascii="Times New Roman" w:hAnsi="Times New Roman" w:eastAsia="宋体" w:cs="Times New Roman"/>
      <w:kern w:val="2"/>
      <w:sz w:val="21"/>
      <w:szCs w:val="24"/>
      <w:lang w:val="en-US" w:eastAsia="zh-CN" w:bidi="ar-SA"/>
    </w:rPr>
  </w:style>
  <w:style w:type="paragraph" w:customStyle="1" w:styleId="362">
    <w:name w:val="CM131"/>
    <w:basedOn w:val="102"/>
    <w:next w:val="102"/>
    <w:qFormat/>
    <w:uiPriority w:val="0"/>
    <w:pPr>
      <w:adjustRightInd w:val="0"/>
    </w:pPr>
    <w:rPr>
      <w:rFonts w:hAnsi="Calibri"/>
      <w:color w:val="auto"/>
      <w:szCs w:val="24"/>
    </w:rPr>
  </w:style>
  <w:style w:type="paragraph" w:customStyle="1" w:styleId="363">
    <w:name w:val="Preformatted"/>
    <w:basedOn w:val="1"/>
    <w:qFormat/>
    <w:uiPriority w:val="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pPr>
    <w:rPr>
      <w:rFonts w:ascii="Courier New" w:hAnsi="Courier New"/>
    </w:rPr>
  </w:style>
  <w:style w:type="paragraph" w:customStyle="1" w:styleId="364">
    <w:name w:val="Char Char Char Char Char Char Char Char Char Char Char Char1"/>
    <w:basedOn w:val="1"/>
    <w:qFormat/>
    <w:uiPriority w:val="0"/>
    <w:pPr>
      <w:widowControl w:val="0"/>
      <w:spacing w:line="240" w:lineRule="atLeast"/>
      <w:ind w:left="420" w:firstLine="420"/>
      <w:jc w:val="both"/>
    </w:pPr>
    <w:rPr>
      <w:sz w:val="21"/>
      <w:szCs w:val="21"/>
    </w:rPr>
  </w:style>
  <w:style w:type="paragraph" w:customStyle="1" w:styleId="365">
    <w:name w:val="pa-15"/>
    <w:basedOn w:val="1"/>
    <w:qFormat/>
    <w:uiPriority w:val="0"/>
    <w:pPr>
      <w:spacing w:line="320" w:lineRule="atLeast"/>
      <w:jc w:val="both"/>
    </w:pPr>
    <w:rPr>
      <w:rFonts w:ascii="宋体" w:hAnsi="宋体" w:cs="宋体"/>
      <w:sz w:val="24"/>
      <w:szCs w:val="24"/>
    </w:rPr>
  </w:style>
  <w:style w:type="paragraph" w:customStyle="1" w:styleId="366">
    <w:name w:val="CM83"/>
    <w:basedOn w:val="102"/>
    <w:next w:val="102"/>
    <w:qFormat/>
    <w:uiPriority w:val="0"/>
    <w:pPr>
      <w:adjustRightInd w:val="0"/>
      <w:spacing w:line="391" w:lineRule="atLeast"/>
    </w:pPr>
    <w:rPr>
      <w:rFonts w:hAnsi="Calibri"/>
      <w:color w:val="auto"/>
      <w:szCs w:val="24"/>
    </w:rPr>
  </w:style>
  <w:style w:type="paragraph" w:customStyle="1" w:styleId="367">
    <w:name w:val="p17"/>
    <w:basedOn w:val="1"/>
    <w:qFormat/>
    <w:uiPriority w:val="0"/>
    <w:pPr>
      <w:spacing w:before="100" w:after="100"/>
    </w:pPr>
    <w:rPr>
      <w:rFonts w:ascii="宋体" w:hAnsi="宋体"/>
      <w:sz w:val="24"/>
    </w:rPr>
  </w:style>
  <w:style w:type="paragraph" w:customStyle="1" w:styleId="368">
    <w:name w:val="Char2 Char Char Char Char Char Char"/>
    <w:basedOn w:val="17"/>
    <w:qFormat/>
    <w:uiPriority w:val="0"/>
    <w:pPr>
      <w:widowControl w:val="0"/>
      <w:shd w:val="clear" w:color="auto" w:fill="000080"/>
      <w:jc w:val="both"/>
    </w:pPr>
    <w:rPr>
      <w:rFonts w:ascii="Tahoma" w:hAnsi="Tahoma"/>
      <w:kern w:val="2"/>
      <w:sz w:val="24"/>
      <w:szCs w:val="24"/>
    </w:rPr>
  </w:style>
  <w:style w:type="paragraph" w:customStyle="1" w:styleId="369">
    <w:name w:val="P1"/>
    <w:qFormat/>
    <w:uiPriority w:val="0"/>
    <w:pPr>
      <w:widowControl w:val="0"/>
      <w:adjustRightInd w:val="0"/>
      <w:spacing w:after="240" w:line="240" w:lineRule="atLeast"/>
      <w:ind w:left="2304" w:hanging="576"/>
      <w:jc w:val="both"/>
      <w:textAlignment w:val="baseline"/>
    </w:pPr>
    <w:rPr>
      <w:rFonts w:ascii="Times New Roman" w:hAnsi="Times New Roman" w:eastAsia="全真中明體" w:cs="Times New Roman"/>
      <w:spacing w:val="20"/>
      <w:sz w:val="24"/>
      <w:lang w:val="en-GB" w:eastAsia="zh-TW" w:bidi="ar-SA"/>
    </w:rPr>
  </w:style>
  <w:style w:type="paragraph" w:customStyle="1" w:styleId="370">
    <w:name w:val="CM71"/>
    <w:basedOn w:val="102"/>
    <w:next w:val="102"/>
    <w:qFormat/>
    <w:uiPriority w:val="0"/>
    <w:pPr>
      <w:adjustRightInd w:val="0"/>
      <w:spacing w:line="553" w:lineRule="atLeast"/>
    </w:pPr>
    <w:rPr>
      <w:rFonts w:hAnsi="Calibri"/>
      <w:color w:val="auto"/>
      <w:szCs w:val="24"/>
    </w:rPr>
  </w:style>
  <w:style w:type="paragraph" w:customStyle="1" w:styleId="371">
    <w:name w:val="CM189"/>
    <w:basedOn w:val="102"/>
    <w:next w:val="102"/>
    <w:qFormat/>
    <w:uiPriority w:val="0"/>
    <w:pPr>
      <w:adjustRightInd w:val="0"/>
    </w:pPr>
    <w:rPr>
      <w:rFonts w:hAnsi="Calibri"/>
      <w:color w:val="auto"/>
      <w:szCs w:val="24"/>
    </w:rPr>
  </w:style>
  <w:style w:type="paragraph" w:customStyle="1" w:styleId="372">
    <w:name w:val="xl49"/>
    <w:basedOn w:val="1"/>
    <w:qFormat/>
    <w:uiPriority w:val="0"/>
    <w:pPr>
      <w:spacing w:before="100" w:beforeAutospacing="1" w:after="100" w:afterAutospacing="1"/>
      <w:textAlignment w:val="center"/>
    </w:pPr>
    <w:rPr>
      <w:rFonts w:hint="eastAsia" w:ascii="黑体" w:hAnsi="Arial Unicode MS" w:eastAsia="黑体" w:cs="Arial Unicode MS"/>
      <w:b/>
      <w:bCs/>
      <w:sz w:val="24"/>
      <w:szCs w:val="24"/>
    </w:rPr>
  </w:style>
  <w:style w:type="paragraph" w:customStyle="1" w:styleId="373">
    <w:name w:val="TOC 标题3"/>
    <w:basedOn w:val="2"/>
    <w:next w:val="1"/>
    <w:qFormat/>
    <w:uiPriority w:val="0"/>
    <w:pPr>
      <w:spacing w:before="480" w:after="0" w:line="276" w:lineRule="auto"/>
      <w:outlineLvl w:val="9"/>
    </w:pPr>
    <w:rPr>
      <w:rFonts w:ascii="Cambria" w:hAnsi="Cambria"/>
      <w:color w:val="365F91"/>
      <w:kern w:val="0"/>
      <w:sz w:val="28"/>
      <w:szCs w:val="28"/>
    </w:rPr>
  </w:style>
  <w:style w:type="paragraph" w:customStyle="1" w:styleId="374">
    <w:name w:val="表格"/>
    <w:basedOn w:val="1"/>
    <w:uiPriority w:val="0"/>
    <w:pPr>
      <w:widowControl w:val="0"/>
      <w:jc w:val="center"/>
      <w:textAlignment w:val="center"/>
    </w:pPr>
    <w:rPr>
      <w:rFonts w:ascii="华文细黑" w:hAnsi="华文细黑"/>
      <w:sz w:val="21"/>
    </w:rPr>
  </w:style>
  <w:style w:type="paragraph" w:customStyle="1" w:styleId="375">
    <w:name w:val="CM46"/>
    <w:basedOn w:val="102"/>
    <w:next w:val="102"/>
    <w:uiPriority w:val="0"/>
    <w:pPr>
      <w:adjustRightInd w:val="0"/>
      <w:spacing w:line="313" w:lineRule="atLeast"/>
    </w:pPr>
    <w:rPr>
      <w:rFonts w:hAnsi="Calibri"/>
      <w:color w:val="auto"/>
      <w:szCs w:val="24"/>
    </w:rPr>
  </w:style>
  <w:style w:type="paragraph" w:customStyle="1" w:styleId="376">
    <w:name w:val="CM169"/>
    <w:basedOn w:val="102"/>
    <w:next w:val="102"/>
    <w:qFormat/>
    <w:uiPriority w:val="0"/>
    <w:pPr>
      <w:adjustRightInd w:val="0"/>
      <w:spacing w:line="340" w:lineRule="atLeast"/>
    </w:pPr>
    <w:rPr>
      <w:rFonts w:hAnsi="Calibri"/>
      <w:color w:val="auto"/>
      <w:szCs w:val="24"/>
    </w:rPr>
  </w:style>
  <w:style w:type="paragraph" w:customStyle="1" w:styleId="377">
    <w:name w:val="No Spacing1"/>
    <w:uiPriority w:val="0"/>
    <w:pPr>
      <w:widowControl w:val="0"/>
      <w:jc w:val="both"/>
    </w:pPr>
    <w:rPr>
      <w:rFonts w:ascii="Times New Roman" w:hAnsi="Times New Roman" w:eastAsia="宋体" w:cs="Calibri"/>
      <w:kern w:val="2"/>
      <w:sz w:val="21"/>
      <w:szCs w:val="21"/>
      <w:lang w:val="en-US" w:eastAsia="zh-CN" w:bidi="ar-SA"/>
    </w:rPr>
  </w:style>
  <w:style w:type="paragraph" w:customStyle="1" w:styleId="378">
    <w:name w:val="普通 (Web)"/>
    <w:basedOn w:val="1"/>
    <w:qFormat/>
    <w:uiPriority w:val="0"/>
    <w:pPr>
      <w:spacing w:before="100" w:beforeAutospacing="1" w:after="100" w:afterAutospacing="1"/>
    </w:pPr>
    <w:rPr>
      <w:rFonts w:ascii="宋体" w:hAnsi="宋体"/>
      <w:sz w:val="24"/>
      <w:szCs w:val="24"/>
    </w:rPr>
  </w:style>
  <w:style w:type="paragraph" w:customStyle="1" w:styleId="379">
    <w:name w:val="CM213"/>
    <w:basedOn w:val="102"/>
    <w:next w:val="102"/>
    <w:qFormat/>
    <w:uiPriority w:val="0"/>
    <w:pPr>
      <w:adjustRightInd w:val="0"/>
    </w:pPr>
    <w:rPr>
      <w:rFonts w:hAnsi="Calibri"/>
      <w:color w:val="auto"/>
      <w:szCs w:val="24"/>
    </w:rPr>
  </w:style>
  <w:style w:type="paragraph" w:customStyle="1" w:styleId="380">
    <w:name w:val="普通(网站)1"/>
    <w:basedOn w:val="1"/>
    <w:qFormat/>
    <w:uiPriority w:val="0"/>
    <w:pPr>
      <w:spacing w:before="100" w:beforeAutospacing="1" w:after="100" w:afterAutospacing="1"/>
    </w:pPr>
    <w:rPr>
      <w:rFonts w:ascii="宋体" w:hAnsi="宋体" w:cs="宋体"/>
      <w:sz w:val="24"/>
      <w:szCs w:val="24"/>
    </w:rPr>
  </w:style>
  <w:style w:type="paragraph" w:customStyle="1" w:styleId="381">
    <w:name w:val="_Style 4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82">
    <w:name w:val="6'"/>
    <w:basedOn w:val="1"/>
    <w:qFormat/>
    <w:uiPriority w:val="0"/>
    <w:pPr>
      <w:widowControl w:val="0"/>
      <w:autoSpaceDE w:val="0"/>
      <w:autoSpaceDN w:val="0"/>
      <w:adjustRightInd w:val="0"/>
      <w:snapToGrid w:val="0"/>
      <w:spacing w:line="320" w:lineRule="exact"/>
      <w:jc w:val="center"/>
      <w:textAlignment w:val="baseline"/>
    </w:pPr>
    <w:rPr>
      <w:spacing w:val="20"/>
      <w:kern w:val="28"/>
      <w:sz w:val="21"/>
    </w:rPr>
  </w:style>
  <w:style w:type="paragraph" w:customStyle="1" w:styleId="383">
    <w:name w:val="H1"/>
    <w:qFormat/>
    <w:uiPriority w:val="0"/>
    <w:pPr>
      <w:widowControl w:val="0"/>
      <w:adjustRightInd w:val="0"/>
      <w:spacing w:after="240" w:line="240" w:lineRule="atLeast"/>
      <w:textAlignment w:val="baseline"/>
    </w:pPr>
    <w:rPr>
      <w:rFonts w:ascii="Times New Roman" w:hAnsi="Times New Roman" w:eastAsia="全真中明體" w:cs="Times New Roman"/>
      <w:b/>
      <w:caps/>
      <w:spacing w:val="30"/>
      <w:sz w:val="24"/>
      <w:lang w:val="en-GB" w:eastAsia="zh-TW" w:bidi="ar-SA"/>
    </w:rPr>
  </w:style>
  <w:style w:type="paragraph" w:customStyle="1" w:styleId="384">
    <w:name w:val="CM148"/>
    <w:basedOn w:val="102"/>
    <w:next w:val="102"/>
    <w:qFormat/>
    <w:uiPriority w:val="0"/>
    <w:pPr>
      <w:adjustRightInd w:val="0"/>
    </w:pPr>
    <w:rPr>
      <w:rFonts w:hAnsi="Calibri"/>
      <w:color w:val="auto"/>
      <w:szCs w:val="24"/>
    </w:rPr>
  </w:style>
  <w:style w:type="paragraph" w:customStyle="1" w:styleId="385">
    <w:name w:val="Char"/>
    <w:basedOn w:val="1"/>
    <w:qFormat/>
    <w:uiPriority w:val="0"/>
    <w:pPr>
      <w:widowControl w:val="0"/>
      <w:jc w:val="both"/>
    </w:pPr>
    <w:rPr>
      <w:rFonts w:ascii="仿宋_GB2312" w:eastAsia="仿宋_GB2312"/>
      <w:b/>
      <w:kern w:val="2"/>
      <w:sz w:val="32"/>
      <w:szCs w:val="32"/>
    </w:rPr>
  </w:style>
  <w:style w:type="paragraph" w:customStyle="1" w:styleId="386">
    <w:name w:val="_Style 585"/>
    <w:basedOn w:val="2"/>
    <w:next w:val="1"/>
    <w:qFormat/>
    <w:uiPriority w:val="0"/>
    <w:pPr>
      <w:spacing w:before="480" w:after="0" w:line="276" w:lineRule="auto"/>
      <w:outlineLvl w:val="9"/>
    </w:pPr>
    <w:rPr>
      <w:rFonts w:ascii="Cambria" w:hAnsi="Cambria"/>
      <w:color w:val="365F91"/>
      <w:kern w:val="0"/>
      <w:sz w:val="28"/>
      <w:szCs w:val="28"/>
    </w:rPr>
  </w:style>
  <w:style w:type="paragraph" w:customStyle="1" w:styleId="387">
    <w:name w:val="CM155"/>
    <w:basedOn w:val="102"/>
    <w:next w:val="102"/>
    <w:qFormat/>
    <w:uiPriority w:val="0"/>
    <w:pPr>
      <w:adjustRightInd w:val="0"/>
      <w:spacing w:line="343" w:lineRule="atLeast"/>
    </w:pPr>
    <w:rPr>
      <w:rFonts w:hAnsi="Calibri"/>
      <w:color w:val="auto"/>
      <w:szCs w:val="24"/>
    </w:rPr>
  </w:style>
  <w:style w:type="paragraph" w:customStyle="1" w:styleId="388">
    <w:name w:val="xl38"/>
    <w:basedOn w:val="1"/>
    <w:uiPriority w:val="0"/>
    <w:pPr>
      <w:pBdr>
        <w:top w:val="single" w:color="auto" w:sz="4" w:space="0"/>
        <w:bottom w:val="single" w:color="auto" w:sz="4" w:space="0"/>
      </w:pBdr>
      <w:spacing w:before="100" w:beforeAutospacing="1" w:after="100" w:afterAutospacing="1"/>
      <w:jc w:val="center"/>
      <w:textAlignment w:val="top"/>
    </w:pPr>
    <w:rPr>
      <w:rFonts w:ascii="Arial Unicode MS" w:hAnsi="Arial Unicode MS" w:eastAsia="Arial Unicode MS" w:cs="Arial Unicode MS"/>
      <w:sz w:val="18"/>
      <w:szCs w:val="18"/>
    </w:rPr>
  </w:style>
  <w:style w:type="paragraph" w:customStyle="1" w:styleId="389">
    <w:name w:val="CM59"/>
    <w:basedOn w:val="102"/>
    <w:next w:val="102"/>
    <w:qFormat/>
    <w:uiPriority w:val="0"/>
    <w:pPr>
      <w:adjustRightInd w:val="0"/>
      <w:spacing w:line="393" w:lineRule="atLeast"/>
    </w:pPr>
    <w:rPr>
      <w:rFonts w:hAnsi="Calibri"/>
      <w:color w:val="auto"/>
      <w:szCs w:val="24"/>
    </w:rPr>
  </w:style>
  <w:style w:type="paragraph" w:customStyle="1" w:styleId="390">
    <w:name w:val="空半行"/>
    <w:basedOn w:val="1"/>
    <w:qFormat/>
    <w:uiPriority w:val="0"/>
    <w:pPr>
      <w:widowControl w:val="0"/>
      <w:adjustRightInd w:val="0"/>
      <w:spacing w:line="120" w:lineRule="exact"/>
      <w:jc w:val="both"/>
      <w:textAlignment w:val="baseline"/>
    </w:pPr>
    <w:rPr>
      <w:rFonts w:eastAsia="仿宋_GB2312"/>
      <w:color w:val="FFFFFF"/>
      <w:sz w:val="30"/>
    </w:rPr>
  </w:style>
  <w:style w:type="paragraph" w:customStyle="1" w:styleId="391">
    <w:name w:val="CM214"/>
    <w:basedOn w:val="102"/>
    <w:next w:val="102"/>
    <w:qFormat/>
    <w:uiPriority w:val="0"/>
    <w:pPr>
      <w:adjustRightInd w:val="0"/>
    </w:pPr>
    <w:rPr>
      <w:rFonts w:hAnsi="Calibri"/>
      <w:color w:val="auto"/>
      <w:szCs w:val="24"/>
    </w:rPr>
  </w:style>
  <w:style w:type="paragraph" w:customStyle="1" w:styleId="392">
    <w:name w:val="文本"/>
    <w:basedOn w:val="21"/>
    <w:qFormat/>
    <w:uiPriority w:val="0"/>
    <w:pPr>
      <w:widowControl w:val="0"/>
      <w:snapToGrid w:val="0"/>
      <w:spacing w:after="0" w:line="360" w:lineRule="auto"/>
      <w:ind w:firstLine="424" w:firstLineChars="202"/>
      <w:jc w:val="both"/>
    </w:pPr>
    <w:rPr>
      <w:rFonts w:ascii="宋体" w:hAnsi="宋体"/>
      <w:kern w:val="2"/>
      <w:sz w:val="24"/>
      <w:szCs w:val="24"/>
    </w:rPr>
  </w:style>
  <w:style w:type="paragraph" w:customStyle="1" w:styleId="393">
    <w:name w:val="CM208"/>
    <w:basedOn w:val="102"/>
    <w:next w:val="102"/>
    <w:uiPriority w:val="0"/>
    <w:pPr>
      <w:adjustRightInd w:val="0"/>
    </w:pPr>
    <w:rPr>
      <w:rFonts w:hAnsi="Calibri"/>
      <w:color w:val="auto"/>
      <w:szCs w:val="24"/>
    </w:rPr>
  </w:style>
  <w:style w:type="paragraph" w:customStyle="1" w:styleId="394">
    <w:name w:val="xl45"/>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sz w:val="18"/>
      <w:szCs w:val="18"/>
    </w:rPr>
  </w:style>
  <w:style w:type="paragraph" w:customStyle="1" w:styleId="395">
    <w:name w:val="字元1"/>
    <w:basedOn w:val="1"/>
    <w:uiPriority w:val="0"/>
    <w:pPr>
      <w:widowControl w:val="0"/>
      <w:jc w:val="both"/>
    </w:pPr>
    <w:rPr>
      <w:rFonts w:ascii="Tahoma" w:hAnsi="Tahoma"/>
      <w:kern w:val="2"/>
      <w:sz w:val="24"/>
    </w:rPr>
  </w:style>
  <w:style w:type="paragraph" w:customStyle="1" w:styleId="396">
    <w:name w:val="Char Char Char Char1 Char Char Char Char Char1 Char"/>
    <w:basedOn w:val="1"/>
    <w:qFormat/>
    <w:uiPriority w:val="0"/>
    <w:pPr>
      <w:widowControl w:val="0"/>
      <w:spacing w:line="240" w:lineRule="atLeast"/>
      <w:ind w:left="420" w:firstLine="420"/>
      <w:jc w:val="both"/>
    </w:pPr>
    <w:rPr>
      <w:sz w:val="21"/>
      <w:szCs w:val="21"/>
    </w:rPr>
  </w:style>
  <w:style w:type="paragraph" w:customStyle="1" w:styleId="397">
    <w:name w:val="P7"/>
    <w:uiPriority w:val="0"/>
    <w:pPr>
      <w:widowControl w:val="0"/>
      <w:tabs>
        <w:tab w:val="left" w:pos="576"/>
      </w:tabs>
      <w:adjustRightInd w:val="0"/>
      <w:spacing w:after="240" w:line="240" w:lineRule="atLeast"/>
      <w:ind w:left="1728" w:hanging="1728"/>
      <w:jc w:val="both"/>
      <w:textAlignment w:val="baseline"/>
    </w:pPr>
    <w:rPr>
      <w:rFonts w:ascii="Times New Roman" w:hAnsi="Times New Roman" w:eastAsia="全真中明體" w:cs="Times New Roman"/>
      <w:spacing w:val="30"/>
      <w:sz w:val="24"/>
      <w:lang w:val="en-GB" w:eastAsia="zh-TW" w:bidi="ar-SA"/>
    </w:rPr>
  </w:style>
  <w:style w:type="paragraph" w:customStyle="1" w:styleId="398">
    <w:name w:val="CM137"/>
    <w:basedOn w:val="102"/>
    <w:next w:val="102"/>
    <w:qFormat/>
    <w:uiPriority w:val="0"/>
    <w:pPr>
      <w:adjustRightInd w:val="0"/>
      <w:spacing w:line="273" w:lineRule="atLeast"/>
    </w:pPr>
    <w:rPr>
      <w:rFonts w:hAnsi="Calibri"/>
      <w:color w:val="auto"/>
      <w:szCs w:val="24"/>
    </w:rPr>
  </w:style>
  <w:style w:type="paragraph" w:customStyle="1" w:styleId="399">
    <w:name w:val="Cap_标题_1"/>
    <w:next w:val="1"/>
    <w:qFormat/>
    <w:uiPriority w:val="0"/>
    <w:pPr>
      <w:keepNext/>
      <w:pageBreakBefore/>
      <w:numPr>
        <w:ilvl w:val="0"/>
        <w:numId w:val="3"/>
      </w:numPr>
      <w:tabs>
        <w:tab w:val="left" w:pos="360"/>
        <w:tab w:val="left" w:pos="425"/>
      </w:tabs>
      <w:spacing w:before="180" w:after="120"/>
      <w:outlineLvl w:val="0"/>
    </w:pPr>
    <w:rPr>
      <w:rFonts w:ascii="Arial" w:hAnsi="Arial" w:eastAsia="宋体" w:cs="Arial"/>
      <w:b/>
      <w:bCs/>
      <w:smallCaps/>
      <w:kern w:val="32"/>
      <w:sz w:val="28"/>
      <w:szCs w:val="28"/>
      <w:lang w:val="en-US" w:eastAsia="en-CA" w:bidi="ar-SA"/>
    </w:rPr>
  </w:style>
  <w:style w:type="paragraph" w:customStyle="1" w:styleId="400">
    <w:name w:val="默认段落字体 Para Char"/>
    <w:basedOn w:val="1"/>
    <w:qFormat/>
    <w:uiPriority w:val="0"/>
    <w:pPr>
      <w:widowControl w:val="0"/>
      <w:snapToGrid w:val="0"/>
      <w:spacing w:line="360" w:lineRule="auto"/>
      <w:ind w:firstLine="200" w:firstLineChars="200"/>
      <w:jc w:val="both"/>
    </w:pPr>
    <w:rPr>
      <w:rFonts w:eastAsia="仿宋_GB2312"/>
      <w:kern w:val="2"/>
      <w:sz w:val="24"/>
      <w:szCs w:val="24"/>
    </w:rPr>
  </w:style>
  <w:style w:type="paragraph" w:customStyle="1" w:styleId="401">
    <w:name w:val="样式 标题 2 + Times New Roman 四号 非加粗 段前: 5 磅 段后: 0 磅 行距: 固定值 20..."/>
    <w:basedOn w:val="3"/>
    <w:qFormat/>
    <w:uiPriority w:val="0"/>
    <w:pPr>
      <w:widowControl w:val="0"/>
      <w:spacing w:before="100" w:after="0" w:line="400" w:lineRule="exact"/>
      <w:jc w:val="both"/>
    </w:pPr>
    <w:rPr>
      <w:rFonts w:ascii="Times New Roman" w:hAnsi="Times New Roman" w:cs="宋体"/>
      <w:b w:val="0"/>
      <w:bCs w:val="0"/>
      <w:kern w:val="2"/>
      <w:sz w:val="28"/>
      <w:szCs w:val="20"/>
    </w:rPr>
  </w:style>
  <w:style w:type="paragraph" w:customStyle="1" w:styleId="402">
    <w:name w:val="TOC 标题2"/>
    <w:basedOn w:val="2"/>
    <w:next w:val="1"/>
    <w:qFormat/>
    <w:uiPriority w:val="39"/>
    <w:pPr>
      <w:outlineLvl w:val="9"/>
    </w:pPr>
  </w:style>
  <w:style w:type="paragraph" w:customStyle="1" w:styleId="403">
    <w:name w:val="CM105"/>
    <w:basedOn w:val="102"/>
    <w:next w:val="102"/>
    <w:qFormat/>
    <w:uiPriority w:val="0"/>
    <w:pPr>
      <w:adjustRightInd w:val="0"/>
    </w:pPr>
    <w:rPr>
      <w:rFonts w:hAnsi="Calibri"/>
      <w:color w:val="auto"/>
      <w:szCs w:val="24"/>
    </w:rPr>
  </w:style>
  <w:style w:type="paragraph" w:customStyle="1" w:styleId="404">
    <w:name w:val="CM108"/>
    <w:basedOn w:val="102"/>
    <w:next w:val="102"/>
    <w:uiPriority w:val="0"/>
    <w:pPr>
      <w:adjustRightInd w:val="0"/>
      <w:spacing w:line="340" w:lineRule="atLeast"/>
    </w:pPr>
    <w:rPr>
      <w:rFonts w:hAnsi="Calibri"/>
      <w:color w:val="auto"/>
      <w:szCs w:val="24"/>
    </w:rPr>
  </w:style>
  <w:style w:type="paragraph" w:customStyle="1" w:styleId="405">
    <w:name w:val="CM202"/>
    <w:basedOn w:val="102"/>
    <w:next w:val="102"/>
    <w:qFormat/>
    <w:uiPriority w:val="0"/>
    <w:pPr>
      <w:adjustRightInd w:val="0"/>
    </w:pPr>
    <w:rPr>
      <w:rFonts w:hAnsi="Calibri"/>
      <w:color w:val="auto"/>
      <w:szCs w:val="24"/>
    </w:rPr>
  </w:style>
  <w:style w:type="paragraph" w:customStyle="1" w:styleId="406">
    <w:name w:val="CM106"/>
    <w:basedOn w:val="102"/>
    <w:next w:val="102"/>
    <w:qFormat/>
    <w:uiPriority w:val="0"/>
    <w:pPr>
      <w:adjustRightInd w:val="0"/>
      <w:spacing w:line="391" w:lineRule="atLeast"/>
    </w:pPr>
    <w:rPr>
      <w:rFonts w:hAnsi="Calibri"/>
      <w:color w:val="auto"/>
      <w:szCs w:val="24"/>
    </w:rPr>
  </w:style>
  <w:style w:type="paragraph" w:customStyle="1" w:styleId="407">
    <w:name w:val="列出段落11"/>
    <w:basedOn w:val="1"/>
    <w:qFormat/>
    <w:uiPriority w:val="0"/>
    <w:pPr>
      <w:widowControl w:val="0"/>
      <w:tabs>
        <w:tab w:val="left" w:pos="432"/>
        <w:tab w:val="left" w:pos="900"/>
      </w:tabs>
      <w:ind w:firstLine="420" w:firstLineChars="200"/>
      <w:jc w:val="both"/>
    </w:pPr>
    <w:rPr>
      <w:rFonts w:ascii="Calibri" w:hAnsi="Calibri"/>
      <w:kern w:val="2"/>
      <w:sz w:val="21"/>
      <w:szCs w:val="22"/>
    </w:rPr>
  </w:style>
  <w:style w:type="paragraph" w:customStyle="1" w:styleId="408">
    <w:name w:val="CM112"/>
    <w:basedOn w:val="102"/>
    <w:next w:val="102"/>
    <w:qFormat/>
    <w:uiPriority w:val="0"/>
    <w:pPr>
      <w:adjustRightInd w:val="0"/>
      <w:spacing w:line="338" w:lineRule="atLeast"/>
    </w:pPr>
    <w:rPr>
      <w:rFonts w:hAnsi="Calibri"/>
      <w:color w:val="auto"/>
      <w:szCs w:val="24"/>
    </w:rPr>
  </w:style>
  <w:style w:type="paragraph" w:customStyle="1" w:styleId="409">
    <w:name w:val="标题4"/>
    <w:basedOn w:val="1"/>
    <w:next w:val="5"/>
    <w:qFormat/>
    <w:uiPriority w:val="0"/>
    <w:rPr>
      <w:rFonts w:ascii="黑体" w:eastAsia="黑体"/>
      <w:sz w:val="24"/>
      <w:szCs w:val="30"/>
    </w:rPr>
  </w:style>
  <w:style w:type="paragraph" w:customStyle="1" w:styleId="410">
    <w:name w:val="样式 样式 表格 + 全部大写 + 非全部大写"/>
    <w:basedOn w:val="1"/>
    <w:qFormat/>
    <w:uiPriority w:val="0"/>
    <w:pPr>
      <w:topLinePunct/>
      <w:adjustRightInd w:val="0"/>
      <w:spacing w:before="120" w:after="120" w:line="360" w:lineRule="auto"/>
      <w:ind w:firstLine="200" w:firstLineChars="200"/>
      <w:textAlignment w:val="baseline"/>
    </w:pPr>
    <w:rPr>
      <w:rFonts w:ascii="MingLiU" w:eastAsia="MingLiU"/>
      <w:sz w:val="24"/>
      <w:lang w:val="en-GB" w:eastAsia="zh-TW"/>
    </w:rPr>
  </w:style>
  <w:style w:type="paragraph" w:customStyle="1" w:styleId="411">
    <w:name w:val="正文_3"/>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12">
    <w:name w:val="CM191"/>
    <w:basedOn w:val="102"/>
    <w:next w:val="102"/>
    <w:qFormat/>
    <w:uiPriority w:val="0"/>
    <w:pPr>
      <w:adjustRightInd w:val="0"/>
    </w:pPr>
    <w:rPr>
      <w:rFonts w:hAnsi="Calibri"/>
      <w:color w:val="auto"/>
      <w:szCs w:val="24"/>
    </w:rPr>
  </w:style>
  <w:style w:type="paragraph" w:customStyle="1" w:styleId="413">
    <w:name w:val="Char1 Char Char Char Char Char Char"/>
    <w:basedOn w:val="17"/>
    <w:uiPriority w:val="0"/>
    <w:pPr>
      <w:widowControl w:val="0"/>
      <w:shd w:val="clear" w:color="auto" w:fill="000080"/>
      <w:spacing w:line="360" w:lineRule="auto"/>
      <w:jc w:val="both"/>
    </w:pPr>
    <w:rPr>
      <w:rFonts w:ascii="Tahoma" w:hAnsi="Tahoma"/>
      <w:kern w:val="2"/>
      <w:sz w:val="24"/>
      <w:szCs w:val="24"/>
    </w:rPr>
  </w:style>
  <w:style w:type="paragraph" w:customStyle="1" w:styleId="414">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sz w:val="18"/>
      <w:szCs w:val="18"/>
    </w:rPr>
  </w:style>
  <w:style w:type="paragraph" w:customStyle="1" w:styleId="415">
    <w:name w:val="CM70"/>
    <w:basedOn w:val="102"/>
    <w:next w:val="102"/>
    <w:qFormat/>
    <w:uiPriority w:val="0"/>
    <w:pPr>
      <w:adjustRightInd w:val="0"/>
      <w:spacing w:line="556" w:lineRule="atLeast"/>
    </w:pPr>
    <w:rPr>
      <w:rFonts w:hAnsi="Calibri"/>
      <w:color w:val="auto"/>
      <w:szCs w:val="24"/>
    </w:rPr>
  </w:style>
  <w:style w:type="paragraph" w:customStyle="1" w:styleId="416">
    <w:name w:val="Char Char Char Char Char Char Char Char Char Char Char Char"/>
    <w:basedOn w:val="1"/>
    <w:qFormat/>
    <w:uiPriority w:val="0"/>
    <w:pPr>
      <w:widowControl w:val="0"/>
      <w:spacing w:line="240" w:lineRule="atLeast"/>
      <w:ind w:left="420" w:firstLine="420"/>
      <w:jc w:val="both"/>
    </w:pPr>
    <w:rPr>
      <w:sz w:val="21"/>
      <w:szCs w:val="21"/>
    </w:rPr>
  </w:style>
  <w:style w:type="paragraph" w:customStyle="1" w:styleId="417">
    <w:name w:val="Char6 Char Char Char1"/>
    <w:basedOn w:val="1"/>
    <w:qFormat/>
    <w:uiPriority w:val="0"/>
    <w:pPr>
      <w:widowControl w:val="0"/>
      <w:tabs>
        <w:tab w:val="left" w:pos="794"/>
        <w:tab w:val="left" w:pos="1191"/>
        <w:tab w:val="left" w:pos="1588"/>
        <w:tab w:val="left" w:pos="1985"/>
      </w:tabs>
      <w:autoSpaceDE w:val="0"/>
      <w:autoSpaceDN w:val="0"/>
      <w:adjustRightInd w:val="0"/>
      <w:spacing w:before="136"/>
      <w:jc w:val="both"/>
    </w:pPr>
    <w:rPr>
      <w:rFonts w:ascii="Tahoma" w:hAnsi="Tahoma"/>
      <w:sz w:val="24"/>
      <w:lang w:val="en-GB"/>
    </w:rPr>
  </w:style>
  <w:style w:type="paragraph" w:customStyle="1" w:styleId="418">
    <w:name w:val="CM113"/>
    <w:basedOn w:val="102"/>
    <w:next w:val="102"/>
    <w:qFormat/>
    <w:uiPriority w:val="0"/>
    <w:pPr>
      <w:adjustRightInd w:val="0"/>
      <w:spacing w:line="343" w:lineRule="atLeast"/>
    </w:pPr>
    <w:rPr>
      <w:rFonts w:hAnsi="Calibri"/>
      <w:color w:val="auto"/>
      <w:szCs w:val="24"/>
    </w:rPr>
  </w:style>
  <w:style w:type="paragraph" w:customStyle="1" w:styleId="419">
    <w:name w:val="正文 A"/>
    <w:qFormat/>
    <w:uiPriority w:val="0"/>
    <w:pPr>
      <w:widowControl w:val="0"/>
      <w:jc w:val="both"/>
    </w:pPr>
    <w:rPr>
      <w:rFonts w:ascii="Times New Roman" w:hAnsi="Times New Roman" w:eastAsia="ヒラギノ角ゴ Pro W3" w:cs="Times New Roman"/>
      <w:color w:val="000000"/>
      <w:kern w:val="2"/>
      <w:sz w:val="21"/>
      <w:szCs w:val="22"/>
      <w:lang w:val="en-US" w:eastAsia="zh-CN" w:bidi="ar-SA"/>
    </w:rPr>
  </w:style>
  <w:style w:type="paragraph" w:customStyle="1" w:styleId="420">
    <w:name w:val="样式 样式 标题 2Underrubrik1prop2Heading 2 HiddenHeading 2 CCBS2nd l....."/>
    <w:basedOn w:val="421"/>
    <w:qFormat/>
    <w:uiPriority w:val="0"/>
    <w:pPr>
      <w:ind w:right="240"/>
    </w:pPr>
  </w:style>
  <w:style w:type="paragraph" w:customStyle="1" w:styleId="421">
    <w:name w:val="样式 标题 2Underrubrik1prop2Heading 2 HiddenHeading 2 CCBS2nd l..."/>
    <w:basedOn w:val="3"/>
    <w:qFormat/>
    <w:uiPriority w:val="0"/>
    <w:pPr>
      <w:widowControl w:val="0"/>
      <w:spacing w:before="156" w:beforeLines="50" w:after="312" w:afterLines="100" w:line="415" w:lineRule="auto"/>
      <w:ind w:left="100" w:leftChars="100" w:right="100" w:rightChars="100"/>
      <w:jc w:val="both"/>
    </w:pPr>
    <w:rPr>
      <w:rFonts w:ascii="宋体" w:hAnsi="宋体" w:eastAsia="宋体" w:cs="宋体"/>
      <w:kern w:val="2"/>
      <w:sz w:val="24"/>
      <w:szCs w:val="20"/>
    </w:rPr>
  </w:style>
  <w:style w:type="paragraph" w:customStyle="1" w:styleId="422">
    <w:name w:val="Char Char Char Char Char Char Char Char Char Char Char Char2"/>
    <w:basedOn w:val="1"/>
    <w:qFormat/>
    <w:uiPriority w:val="0"/>
    <w:pPr>
      <w:widowControl w:val="0"/>
      <w:spacing w:line="240" w:lineRule="atLeast"/>
      <w:ind w:left="420" w:firstLine="420"/>
      <w:jc w:val="both"/>
    </w:pPr>
    <w:rPr>
      <w:sz w:val="21"/>
      <w:szCs w:val="21"/>
    </w:rPr>
  </w:style>
  <w:style w:type="paragraph" w:customStyle="1" w:styleId="423">
    <w:name w:val="Char6 Char Char Char11"/>
    <w:basedOn w:val="1"/>
    <w:qFormat/>
    <w:uiPriority w:val="0"/>
    <w:pPr>
      <w:widowControl w:val="0"/>
      <w:tabs>
        <w:tab w:val="left" w:pos="794"/>
        <w:tab w:val="left" w:pos="1191"/>
        <w:tab w:val="left" w:pos="1588"/>
        <w:tab w:val="left" w:pos="1985"/>
      </w:tabs>
      <w:autoSpaceDE w:val="0"/>
      <w:autoSpaceDN w:val="0"/>
      <w:adjustRightInd w:val="0"/>
      <w:spacing w:before="136"/>
      <w:jc w:val="both"/>
    </w:pPr>
    <w:rPr>
      <w:rFonts w:ascii="Tahoma" w:hAnsi="Tahoma"/>
      <w:sz w:val="24"/>
      <w:lang w:val="en-GB"/>
    </w:rPr>
  </w:style>
  <w:style w:type="paragraph" w:customStyle="1" w:styleId="424">
    <w:name w:val="CM9"/>
    <w:basedOn w:val="102"/>
    <w:next w:val="102"/>
    <w:qFormat/>
    <w:uiPriority w:val="0"/>
    <w:pPr>
      <w:adjustRightInd w:val="0"/>
      <w:spacing w:line="313" w:lineRule="atLeast"/>
    </w:pPr>
    <w:rPr>
      <w:rFonts w:hAnsi="Calibri"/>
      <w:color w:val="auto"/>
      <w:szCs w:val="24"/>
    </w:rPr>
  </w:style>
  <w:style w:type="paragraph" w:customStyle="1" w:styleId="425">
    <w:name w:val="CM203"/>
    <w:basedOn w:val="102"/>
    <w:next w:val="102"/>
    <w:qFormat/>
    <w:uiPriority w:val="0"/>
    <w:pPr>
      <w:adjustRightInd w:val="0"/>
    </w:pPr>
    <w:rPr>
      <w:rFonts w:hAnsi="Calibri"/>
      <w:color w:val="auto"/>
      <w:szCs w:val="24"/>
    </w:rPr>
  </w:style>
  <w:style w:type="paragraph" w:customStyle="1" w:styleId="426">
    <w:name w:val="默认段落字体 Para Char Char Char Char"/>
    <w:basedOn w:val="1"/>
    <w:qFormat/>
    <w:uiPriority w:val="0"/>
    <w:pPr>
      <w:widowControl w:val="0"/>
      <w:jc w:val="both"/>
    </w:pPr>
    <w:rPr>
      <w:kern w:val="2"/>
      <w:sz w:val="21"/>
      <w:szCs w:val="24"/>
    </w:rPr>
  </w:style>
  <w:style w:type="paragraph" w:customStyle="1" w:styleId="427">
    <w:name w:val="Char Char Char Char Char Char Char Char Char Char1"/>
    <w:basedOn w:val="1"/>
    <w:qFormat/>
    <w:uiPriority w:val="0"/>
    <w:pPr>
      <w:widowControl w:val="0"/>
      <w:tabs>
        <w:tab w:val="left" w:pos="425"/>
      </w:tabs>
      <w:ind w:left="425" w:hanging="425"/>
      <w:jc w:val="both"/>
    </w:pPr>
    <w:rPr>
      <w:rFonts w:ascii="Arial" w:hAnsi="Arial" w:eastAsia="黑体" w:cs="宋体"/>
      <w:b/>
      <w:bCs/>
      <w:kern w:val="2"/>
      <w:sz w:val="32"/>
      <w:szCs w:val="32"/>
    </w:rPr>
  </w:style>
  <w:style w:type="paragraph" w:customStyle="1" w:styleId="428">
    <w:name w:val="菲页2"/>
    <w:basedOn w:val="4"/>
    <w:qFormat/>
    <w:uiPriority w:val="0"/>
    <w:pPr>
      <w:tabs>
        <w:tab w:val="left" w:pos="720"/>
      </w:tabs>
      <w:spacing w:before="120" w:after="120" w:line="360" w:lineRule="auto"/>
      <w:ind w:left="720" w:hanging="720"/>
      <w:jc w:val="center"/>
    </w:pPr>
    <w:rPr>
      <w:rFonts w:ascii="黑体" w:hAnsi="宋体" w:eastAsia="黑体"/>
      <w:b w:val="0"/>
      <w:bCs w:val="0"/>
      <w:sz w:val="44"/>
      <w:szCs w:val="20"/>
    </w:rPr>
  </w:style>
  <w:style w:type="paragraph" w:customStyle="1" w:styleId="429">
    <w:name w:val="CM37"/>
    <w:basedOn w:val="102"/>
    <w:next w:val="102"/>
    <w:qFormat/>
    <w:uiPriority w:val="0"/>
    <w:pPr>
      <w:adjustRightInd w:val="0"/>
      <w:spacing w:line="403" w:lineRule="atLeast"/>
    </w:pPr>
    <w:rPr>
      <w:rFonts w:hAnsi="Calibri"/>
      <w:color w:val="auto"/>
      <w:szCs w:val="24"/>
    </w:rPr>
  </w:style>
  <w:style w:type="paragraph" w:customStyle="1" w:styleId="430">
    <w:name w:val="Char Char Char Char2"/>
    <w:basedOn w:val="1"/>
    <w:qFormat/>
    <w:uiPriority w:val="0"/>
    <w:pPr>
      <w:widowControl w:val="0"/>
      <w:spacing w:line="240" w:lineRule="atLeast"/>
      <w:ind w:left="420" w:firstLine="420"/>
      <w:jc w:val="both"/>
    </w:pPr>
    <w:rPr>
      <w:sz w:val="21"/>
      <w:szCs w:val="21"/>
    </w:rPr>
  </w:style>
  <w:style w:type="paragraph" w:customStyle="1" w:styleId="431">
    <w:name w:val="CM19"/>
    <w:basedOn w:val="102"/>
    <w:next w:val="102"/>
    <w:qFormat/>
    <w:uiPriority w:val="0"/>
    <w:pPr>
      <w:adjustRightInd w:val="0"/>
      <w:spacing w:line="320" w:lineRule="atLeast"/>
    </w:pPr>
    <w:rPr>
      <w:rFonts w:hAnsi="Calibri"/>
      <w:color w:val="auto"/>
      <w:szCs w:val="24"/>
    </w:rPr>
  </w:style>
  <w:style w:type="paragraph" w:customStyle="1" w:styleId="432">
    <w:name w:val="CM197"/>
    <w:basedOn w:val="102"/>
    <w:next w:val="102"/>
    <w:qFormat/>
    <w:uiPriority w:val="0"/>
    <w:pPr>
      <w:adjustRightInd w:val="0"/>
    </w:pPr>
    <w:rPr>
      <w:rFonts w:hAnsi="Calibri"/>
      <w:color w:val="auto"/>
      <w:szCs w:val="24"/>
    </w:rPr>
  </w:style>
  <w:style w:type="paragraph" w:customStyle="1" w:styleId="433">
    <w:name w:val="Char Char Char Char1"/>
    <w:basedOn w:val="1"/>
    <w:qFormat/>
    <w:uiPriority w:val="0"/>
    <w:pPr>
      <w:widowControl w:val="0"/>
      <w:spacing w:line="240" w:lineRule="atLeast"/>
      <w:ind w:left="420" w:firstLine="420"/>
      <w:jc w:val="both"/>
    </w:pPr>
    <w:rPr>
      <w:sz w:val="21"/>
      <w:szCs w:val="21"/>
    </w:rPr>
  </w:style>
  <w:style w:type="paragraph" w:customStyle="1" w:styleId="434">
    <w:name w:val="样式 标题 1 + 黑体 三号 非加粗 居中 段前: 6 磅 段后: 6 磅 行距: 固定值 20 磅"/>
    <w:basedOn w:val="2"/>
    <w:qFormat/>
    <w:uiPriority w:val="0"/>
    <w:pPr>
      <w:widowControl w:val="0"/>
      <w:spacing w:before="120" w:after="120" w:line="400" w:lineRule="exact"/>
      <w:jc w:val="center"/>
    </w:pPr>
    <w:rPr>
      <w:rFonts w:ascii="黑体" w:hAnsi="黑体" w:eastAsia="黑体" w:cs="宋体"/>
      <w:b w:val="0"/>
      <w:bCs w:val="0"/>
      <w:sz w:val="32"/>
      <w:szCs w:val="20"/>
    </w:rPr>
  </w:style>
  <w:style w:type="paragraph" w:customStyle="1" w:styleId="435">
    <w:name w:val="默认段落字体 Para Char Char Char Char Char Char Char"/>
    <w:basedOn w:val="17"/>
    <w:qFormat/>
    <w:uiPriority w:val="0"/>
    <w:pPr>
      <w:widowControl w:val="0"/>
      <w:shd w:val="clear" w:color="auto" w:fill="000080"/>
      <w:adjustRightInd w:val="0"/>
      <w:spacing w:line="436" w:lineRule="exact"/>
      <w:ind w:left="357"/>
      <w:outlineLvl w:val="3"/>
    </w:pPr>
    <w:rPr>
      <w:rFonts w:ascii="Tahoma" w:hAnsi="Tahoma"/>
      <w:b/>
      <w:kern w:val="2"/>
      <w:sz w:val="24"/>
      <w:szCs w:val="24"/>
    </w:rPr>
  </w:style>
  <w:style w:type="paragraph" w:customStyle="1" w:styleId="436">
    <w:name w:val="Char Char Char Char Char Char Char Char Char Char Char Char Char Char Char Char Char Char Char Char Char Char Char Char Char Char Char Char"/>
    <w:basedOn w:val="1"/>
    <w:qFormat/>
    <w:uiPriority w:val="0"/>
    <w:pPr>
      <w:spacing w:after="160" w:line="240" w:lineRule="exact"/>
    </w:pPr>
    <w:rPr>
      <w:rFonts w:ascii="Verdana" w:hAnsi="Verdana" w:eastAsia="仿宋_GB2312"/>
      <w:sz w:val="24"/>
      <w:lang w:eastAsia="en-US"/>
    </w:rPr>
  </w:style>
  <w:style w:type="paragraph" w:customStyle="1" w:styleId="437">
    <w:name w:val="CM68"/>
    <w:basedOn w:val="102"/>
    <w:next w:val="102"/>
    <w:qFormat/>
    <w:uiPriority w:val="0"/>
    <w:pPr>
      <w:adjustRightInd w:val="0"/>
      <w:spacing w:line="466" w:lineRule="atLeast"/>
    </w:pPr>
    <w:rPr>
      <w:rFonts w:hAnsi="Calibri"/>
      <w:color w:val="auto"/>
      <w:szCs w:val="24"/>
    </w:rPr>
  </w:style>
  <w:style w:type="paragraph" w:customStyle="1" w:styleId="438">
    <w:name w:val="tableheading"/>
    <w:basedOn w:val="1"/>
    <w:qFormat/>
    <w:uiPriority w:val="0"/>
    <w:pPr>
      <w:spacing w:before="100" w:beforeAutospacing="1" w:after="100" w:afterAutospacing="1"/>
    </w:pPr>
    <w:rPr>
      <w:rFonts w:ascii="宋体" w:hAnsi="宋体" w:cs="宋体"/>
      <w:sz w:val="24"/>
      <w:szCs w:val="24"/>
    </w:rPr>
  </w:style>
  <w:style w:type="paragraph" w:customStyle="1" w:styleId="439">
    <w:name w:val="CM145"/>
    <w:basedOn w:val="102"/>
    <w:next w:val="102"/>
    <w:qFormat/>
    <w:uiPriority w:val="0"/>
    <w:pPr>
      <w:adjustRightInd w:val="0"/>
    </w:pPr>
    <w:rPr>
      <w:rFonts w:hAnsi="Calibri"/>
      <w:color w:val="auto"/>
      <w:szCs w:val="24"/>
    </w:rPr>
  </w:style>
  <w:style w:type="paragraph" w:customStyle="1" w:styleId="440">
    <w:name w:val="Char Char1 Char Char"/>
    <w:basedOn w:val="1"/>
    <w:qFormat/>
    <w:uiPriority w:val="0"/>
    <w:pPr>
      <w:tabs>
        <w:tab w:val="left" w:pos="425"/>
      </w:tabs>
      <w:spacing w:before="312" w:beforeLines="100" w:after="160" w:line="240" w:lineRule="exact"/>
      <w:ind w:left="425" w:hanging="425"/>
    </w:pPr>
    <w:rPr>
      <w:rFonts w:ascii="Verdana" w:hAnsi="Verdana" w:eastAsia="黑体"/>
      <w:lang w:eastAsia="en-US"/>
    </w:rPr>
  </w:style>
  <w:style w:type="paragraph" w:customStyle="1" w:styleId="441">
    <w:name w:val="CM146"/>
    <w:basedOn w:val="102"/>
    <w:next w:val="102"/>
    <w:qFormat/>
    <w:uiPriority w:val="0"/>
    <w:pPr>
      <w:adjustRightInd w:val="0"/>
    </w:pPr>
    <w:rPr>
      <w:rFonts w:hAnsi="Calibri"/>
      <w:color w:val="auto"/>
      <w:szCs w:val="24"/>
    </w:rPr>
  </w:style>
  <w:style w:type="paragraph" w:customStyle="1" w:styleId="442">
    <w:name w:val="CM210"/>
    <w:basedOn w:val="102"/>
    <w:next w:val="102"/>
    <w:uiPriority w:val="0"/>
    <w:pPr>
      <w:adjustRightInd w:val="0"/>
    </w:pPr>
    <w:rPr>
      <w:rFonts w:hAnsi="Calibri"/>
      <w:color w:val="auto"/>
      <w:szCs w:val="24"/>
    </w:rPr>
  </w:style>
  <w:style w:type="paragraph" w:customStyle="1" w:styleId="443">
    <w:name w:val="明显引用2"/>
    <w:basedOn w:val="1"/>
    <w:next w:val="1"/>
    <w:qFormat/>
    <w:uiPriority w:val="0"/>
    <w:pPr>
      <w:widowControl w:val="0"/>
      <w:pBdr>
        <w:bottom w:val="single" w:color="4F81BD" w:sz="4" w:space="4"/>
      </w:pBdr>
      <w:spacing w:before="200" w:after="280"/>
      <w:ind w:left="936" w:right="936"/>
      <w:jc w:val="both"/>
    </w:pPr>
    <w:rPr>
      <w:b/>
      <w:i/>
      <w:color w:val="4F81BD"/>
      <w:kern w:val="2"/>
      <w:sz w:val="22"/>
    </w:rPr>
  </w:style>
  <w:style w:type="paragraph" w:customStyle="1" w:styleId="444">
    <w:name w:val="菲页(卷)"/>
    <w:basedOn w:val="2"/>
    <w:next w:val="445"/>
    <w:qFormat/>
    <w:uiPriority w:val="0"/>
    <w:pPr>
      <w:keepLines w:val="0"/>
      <w:tabs>
        <w:tab w:val="left" w:pos="425"/>
      </w:tabs>
      <w:spacing w:before="0" w:after="0" w:line="240" w:lineRule="auto"/>
      <w:ind w:left="432" w:hanging="432"/>
      <w:jc w:val="center"/>
      <w:outlineLvl w:val="1"/>
    </w:pPr>
    <w:rPr>
      <w:rFonts w:ascii="黑体" w:eastAsia="黑体"/>
      <w:b w:val="0"/>
      <w:bCs w:val="0"/>
      <w:kern w:val="0"/>
      <w:sz w:val="52"/>
      <w:szCs w:val="20"/>
    </w:rPr>
  </w:style>
  <w:style w:type="paragraph" w:customStyle="1" w:styleId="445">
    <w:name w:val="正文1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446">
    <w:name w:val="xl34"/>
    <w:basedOn w:val="1"/>
    <w:qFormat/>
    <w:uiPriority w:val="0"/>
    <w:pPr>
      <w:pBdr>
        <w:right w:val="single" w:color="auto" w:sz="4" w:space="0"/>
      </w:pBdr>
      <w:spacing w:before="100" w:beforeAutospacing="1" w:after="100" w:afterAutospacing="1"/>
      <w:jc w:val="center"/>
      <w:textAlignment w:val="center"/>
    </w:pPr>
    <w:rPr>
      <w:rFonts w:ascii="Arial Unicode MS" w:hAnsi="Arial Unicode MS" w:eastAsia="Arial Unicode MS" w:cs="Arial Unicode MS"/>
      <w:sz w:val="18"/>
      <w:szCs w:val="18"/>
    </w:rPr>
  </w:style>
  <w:style w:type="paragraph" w:customStyle="1" w:styleId="447">
    <w:name w:val="CM5"/>
    <w:basedOn w:val="102"/>
    <w:next w:val="102"/>
    <w:qFormat/>
    <w:uiPriority w:val="0"/>
    <w:pPr>
      <w:adjustRightInd w:val="0"/>
      <w:spacing w:line="496" w:lineRule="atLeast"/>
    </w:pPr>
    <w:rPr>
      <w:rFonts w:hAnsi="Calibri"/>
      <w:color w:val="auto"/>
      <w:szCs w:val="24"/>
    </w:rPr>
  </w:style>
  <w:style w:type="paragraph" w:customStyle="1" w:styleId="448">
    <w:name w:val="p1"/>
    <w:basedOn w:val="1"/>
    <w:qFormat/>
    <w:uiPriority w:val="0"/>
    <w:pPr>
      <w:spacing w:line="480" w:lineRule="auto"/>
      <w:jc w:val="center"/>
    </w:pPr>
    <w:rPr>
      <w:rFonts w:ascii="宋体" w:hAnsi="宋体" w:cs="宋体"/>
      <w:sz w:val="28"/>
      <w:szCs w:val="28"/>
    </w:rPr>
  </w:style>
  <w:style w:type="paragraph" w:customStyle="1" w:styleId="449">
    <w:name w:val="CM93"/>
    <w:basedOn w:val="102"/>
    <w:next w:val="102"/>
    <w:qFormat/>
    <w:uiPriority w:val="0"/>
    <w:pPr>
      <w:adjustRightInd w:val="0"/>
      <w:spacing w:line="678" w:lineRule="atLeast"/>
    </w:pPr>
    <w:rPr>
      <w:rFonts w:hAnsi="Calibri"/>
      <w:color w:val="auto"/>
      <w:szCs w:val="24"/>
    </w:rPr>
  </w:style>
  <w:style w:type="paragraph" w:customStyle="1" w:styleId="450">
    <w:name w:val="CM81"/>
    <w:basedOn w:val="102"/>
    <w:next w:val="102"/>
    <w:qFormat/>
    <w:uiPriority w:val="0"/>
    <w:pPr>
      <w:adjustRightInd w:val="0"/>
    </w:pPr>
    <w:rPr>
      <w:rFonts w:hAnsi="Calibri"/>
      <w:color w:val="auto"/>
      <w:szCs w:val="24"/>
    </w:rPr>
  </w:style>
  <w:style w:type="paragraph" w:customStyle="1" w:styleId="451">
    <w:name w:val="正文（标准）"/>
    <w:basedOn w:val="1"/>
    <w:next w:val="1"/>
    <w:qFormat/>
    <w:uiPriority w:val="0"/>
    <w:pPr>
      <w:ind w:firstLine="525"/>
    </w:pPr>
    <w:rPr>
      <w:rFonts w:ascii="宋体" w:hAnsi="宋体"/>
    </w:rPr>
  </w:style>
  <w:style w:type="paragraph" w:customStyle="1" w:styleId="452">
    <w:name w:val="Absatz2AL"/>
    <w:basedOn w:val="21"/>
    <w:next w:val="1"/>
    <w:qFormat/>
    <w:uiPriority w:val="0"/>
    <w:pPr>
      <w:overflowPunct w:val="0"/>
      <w:autoSpaceDE w:val="0"/>
      <w:autoSpaceDN w:val="0"/>
      <w:adjustRightInd w:val="0"/>
      <w:spacing w:after="0"/>
    </w:pPr>
    <w:rPr>
      <w:rFonts w:ascii="Calibri" w:hAnsi="Calibri" w:eastAsia="楷体_GB2312"/>
      <w:sz w:val="24"/>
      <w:lang w:val="de-DE" w:eastAsia="en-US" w:bidi="en-US"/>
    </w:rPr>
  </w:style>
  <w:style w:type="paragraph" w:customStyle="1" w:styleId="453">
    <w:name w:val="P6"/>
    <w:qFormat/>
    <w:uiPriority w:val="0"/>
    <w:pPr>
      <w:widowControl w:val="0"/>
      <w:adjustRightInd w:val="0"/>
      <w:spacing w:after="240" w:line="240" w:lineRule="atLeast"/>
      <w:ind w:left="3456" w:hanging="576"/>
      <w:jc w:val="both"/>
      <w:textAlignment w:val="baseline"/>
    </w:pPr>
    <w:rPr>
      <w:rFonts w:ascii="Times New Roman" w:hAnsi="Times New Roman" w:eastAsia="全真中明體" w:cs="Times New Roman"/>
      <w:spacing w:val="20"/>
      <w:sz w:val="24"/>
      <w:lang w:val="en-GB" w:eastAsia="zh-TW" w:bidi="ar-SA"/>
    </w:rPr>
  </w:style>
  <w:style w:type="paragraph" w:customStyle="1" w:styleId="454">
    <w:name w:val="xl42"/>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sz w:val="18"/>
      <w:szCs w:val="18"/>
    </w:rPr>
  </w:style>
  <w:style w:type="paragraph" w:customStyle="1" w:styleId="455">
    <w:name w:val="标准"/>
    <w:basedOn w:val="1"/>
    <w:qFormat/>
    <w:uiPriority w:val="0"/>
    <w:pPr>
      <w:widowControl w:val="0"/>
      <w:adjustRightInd w:val="0"/>
      <w:spacing w:line="312" w:lineRule="atLeast"/>
      <w:jc w:val="both"/>
      <w:textAlignment w:val="baseline"/>
    </w:pPr>
    <w:rPr>
      <w:sz w:val="28"/>
    </w:rPr>
  </w:style>
  <w:style w:type="paragraph" w:customStyle="1" w:styleId="456">
    <w:name w:val="CM78"/>
    <w:basedOn w:val="102"/>
    <w:next w:val="102"/>
    <w:qFormat/>
    <w:uiPriority w:val="0"/>
    <w:pPr>
      <w:adjustRightInd w:val="0"/>
    </w:pPr>
    <w:rPr>
      <w:rFonts w:hAnsi="Calibri"/>
      <w:color w:val="auto"/>
      <w:szCs w:val="24"/>
    </w:rPr>
  </w:style>
  <w:style w:type="paragraph" w:customStyle="1" w:styleId="457">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sz w:val="18"/>
      <w:szCs w:val="18"/>
    </w:rPr>
  </w:style>
  <w:style w:type="paragraph" w:customStyle="1" w:styleId="458">
    <w:name w:val="样式 标题 1 + 宋体 四号 非加粗"/>
    <w:basedOn w:val="1"/>
    <w:qFormat/>
    <w:uiPriority w:val="0"/>
    <w:pPr>
      <w:widowControl w:val="0"/>
      <w:tabs>
        <w:tab w:val="left" w:pos="480"/>
      </w:tabs>
      <w:adjustRightInd w:val="0"/>
      <w:spacing w:line="360" w:lineRule="atLeast"/>
      <w:ind w:left="877" w:hanging="397"/>
      <w:jc w:val="both"/>
      <w:textAlignment w:val="baseline"/>
    </w:pPr>
  </w:style>
  <w:style w:type="paragraph" w:customStyle="1" w:styleId="459">
    <w:name w:val="CM33"/>
    <w:basedOn w:val="102"/>
    <w:next w:val="102"/>
    <w:qFormat/>
    <w:uiPriority w:val="0"/>
    <w:pPr>
      <w:adjustRightInd w:val="0"/>
      <w:spacing w:line="400" w:lineRule="atLeast"/>
    </w:pPr>
    <w:rPr>
      <w:rFonts w:hAnsi="Calibri"/>
      <w:color w:val="auto"/>
      <w:szCs w:val="24"/>
    </w:rPr>
  </w:style>
  <w:style w:type="paragraph" w:customStyle="1" w:styleId="460">
    <w:name w:val="pbj1"/>
    <w:basedOn w:val="1"/>
    <w:qFormat/>
    <w:uiPriority w:val="0"/>
    <w:rPr>
      <w:rFonts w:ascii="宋体" w:hAnsi="宋体" w:cs="宋体"/>
      <w:sz w:val="24"/>
      <w:szCs w:val="24"/>
    </w:rPr>
  </w:style>
  <w:style w:type="paragraph" w:customStyle="1" w:styleId="461">
    <w:name w:val="font8"/>
    <w:basedOn w:val="1"/>
    <w:qFormat/>
    <w:uiPriority w:val="0"/>
    <w:pPr>
      <w:spacing w:before="100" w:beforeAutospacing="1" w:after="100" w:afterAutospacing="1"/>
    </w:pPr>
    <w:rPr>
      <w:rFonts w:eastAsia="Arial Unicode MS"/>
    </w:rPr>
  </w:style>
  <w:style w:type="paragraph" w:customStyle="1" w:styleId="462">
    <w:name w:val="CM115"/>
    <w:basedOn w:val="102"/>
    <w:next w:val="102"/>
    <w:qFormat/>
    <w:uiPriority w:val="0"/>
    <w:pPr>
      <w:adjustRightInd w:val="0"/>
      <w:spacing w:line="340" w:lineRule="atLeast"/>
    </w:pPr>
    <w:rPr>
      <w:rFonts w:hAnsi="Calibri"/>
      <w:color w:val="auto"/>
      <w:szCs w:val="24"/>
    </w:rPr>
  </w:style>
  <w:style w:type="paragraph" w:customStyle="1" w:styleId="463">
    <w:name w:val="普通(网站)2"/>
    <w:basedOn w:val="1"/>
    <w:qFormat/>
    <w:uiPriority w:val="0"/>
    <w:pPr>
      <w:spacing w:before="100" w:beforeAutospacing="1" w:after="100" w:afterAutospacing="1"/>
    </w:pPr>
    <w:rPr>
      <w:rFonts w:ascii="宋体" w:hAnsi="宋体" w:cs="宋体"/>
      <w:sz w:val="24"/>
      <w:szCs w:val="24"/>
    </w:rPr>
  </w:style>
  <w:style w:type="paragraph" w:customStyle="1" w:styleId="464">
    <w:name w:val="Char Char Char Char111"/>
    <w:basedOn w:val="1"/>
    <w:qFormat/>
    <w:uiPriority w:val="0"/>
    <w:pPr>
      <w:widowControl w:val="0"/>
      <w:spacing w:line="240" w:lineRule="atLeast"/>
      <w:ind w:left="420" w:firstLine="420"/>
      <w:jc w:val="both"/>
    </w:pPr>
    <w:rPr>
      <w:sz w:val="21"/>
      <w:szCs w:val="21"/>
    </w:rPr>
  </w:style>
  <w:style w:type="paragraph" w:customStyle="1" w:styleId="465">
    <w:name w:val="CM47"/>
    <w:basedOn w:val="102"/>
    <w:next w:val="102"/>
    <w:qFormat/>
    <w:uiPriority w:val="0"/>
    <w:pPr>
      <w:adjustRightInd w:val="0"/>
      <w:spacing w:line="400" w:lineRule="atLeast"/>
    </w:pPr>
    <w:rPr>
      <w:rFonts w:hAnsi="Calibri"/>
      <w:color w:val="auto"/>
      <w:szCs w:val="24"/>
    </w:rPr>
  </w:style>
  <w:style w:type="paragraph" w:customStyle="1" w:styleId="466">
    <w:name w:val="CM96"/>
    <w:basedOn w:val="102"/>
    <w:next w:val="102"/>
    <w:qFormat/>
    <w:uiPriority w:val="0"/>
    <w:pPr>
      <w:adjustRightInd w:val="0"/>
    </w:pPr>
    <w:rPr>
      <w:rFonts w:hAnsi="Calibri"/>
      <w:color w:val="auto"/>
      <w:szCs w:val="24"/>
    </w:rPr>
  </w:style>
  <w:style w:type="paragraph" w:customStyle="1" w:styleId="467">
    <w:name w:val="CM144"/>
    <w:basedOn w:val="102"/>
    <w:next w:val="102"/>
    <w:qFormat/>
    <w:uiPriority w:val="0"/>
    <w:pPr>
      <w:adjustRightInd w:val="0"/>
    </w:pPr>
    <w:rPr>
      <w:rFonts w:hAnsi="Calibri"/>
      <w:color w:val="auto"/>
      <w:szCs w:val="24"/>
    </w:rPr>
  </w:style>
  <w:style w:type="paragraph" w:customStyle="1" w:styleId="468">
    <w:name w:val="Char Char Char Char Char Char Char Char Char Char Char Char Char Char Char"/>
    <w:basedOn w:val="1"/>
    <w:qFormat/>
    <w:uiPriority w:val="0"/>
    <w:pPr>
      <w:widowControl w:val="0"/>
      <w:spacing w:line="240" w:lineRule="atLeast"/>
      <w:ind w:left="420" w:firstLine="420"/>
      <w:jc w:val="both"/>
    </w:pPr>
    <w:rPr>
      <w:sz w:val="21"/>
      <w:szCs w:val="21"/>
    </w:rPr>
  </w:style>
  <w:style w:type="paragraph" w:customStyle="1" w:styleId="469">
    <w:name w:val="引用1"/>
    <w:basedOn w:val="1"/>
    <w:next w:val="1"/>
    <w:qFormat/>
    <w:uiPriority w:val="0"/>
    <w:pPr>
      <w:widowControl w:val="0"/>
      <w:jc w:val="both"/>
    </w:pPr>
    <w:rPr>
      <w:rFonts w:ascii="Calibri" w:hAnsi="Calibri"/>
      <w:i/>
      <w:iCs/>
      <w:color w:val="000000"/>
    </w:rPr>
  </w:style>
  <w:style w:type="paragraph" w:customStyle="1" w:styleId="470">
    <w:name w:val="Char Char Char Char Char Char"/>
    <w:basedOn w:val="1"/>
    <w:qFormat/>
    <w:uiPriority w:val="0"/>
    <w:pPr>
      <w:widowControl w:val="0"/>
      <w:adjustRightInd w:val="0"/>
      <w:spacing w:line="360" w:lineRule="auto"/>
      <w:jc w:val="both"/>
    </w:pPr>
    <w:rPr>
      <w:sz w:val="24"/>
    </w:rPr>
  </w:style>
  <w:style w:type="paragraph" w:customStyle="1" w:styleId="471">
    <w:name w:val="font6"/>
    <w:basedOn w:val="1"/>
    <w:qFormat/>
    <w:uiPriority w:val="0"/>
    <w:pPr>
      <w:spacing w:before="100" w:beforeAutospacing="1" w:after="100" w:afterAutospacing="1"/>
    </w:pPr>
    <w:rPr>
      <w:rFonts w:eastAsia="Arial Unicode MS"/>
      <w:sz w:val="18"/>
      <w:szCs w:val="18"/>
    </w:rPr>
  </w:style>
  <w:style w:type="paragraph" w:customStyle="1" w:styleId="472">
    <w:name w:val="p2"/>
    <w:basedOn w:val="1"/>
    <w:qFormat/>
    <w:uiPriority w:val="0"/>
    <w:pPr>
      <w:spacing w:line="480" w:lineRule="auto"/>
      <w:ind w:firstLine="420"/>
    </w:pPr>
    <w:rPr>
      <w:rFonts w:ascii="宋体" w:hAnsi="宋体" w:cs="宋体"/>
      <w:sz w:val="21"/>
      <w:szCs w:val="21"/>
    </w:rPr>
  </w:style>
  <w:style w:type="paragraph" w:customStyle="1" w:styleId="473">
    <w:name w:val="p15"/>
    <w:basedOn w:val="1"/>
    <w:qFormat/>
    <w:uiPriority w:val="0"/>
    <w:pPr>
      <w:snapToGrid w:val="0"/>
      <w:spacing w:before="100" w:after="100"/>
      <w:ind w:left="360" w:right="360"/>
    </w:pPr>
    <w:rPr>
      <w:sz w:val="24"/>
      <w:szCs w:val="24"/>
    </w:rPr>
  </w:style>
  <w:style w:type="paragraph" w:customStyle="1" w:styleId="474">
    <w:name w:val="CM198"/>
    <w:basedOn w:val="102"/>
    <w:next w:val="102"/>
    <w:qFormat/>
    <w:uiPriority w:val="0"/>
    <w:pPr>
      <w:adjustRightInd w:val="0"/>
    </w:pPr>
    <w:rPr>
      <w:rFonts w:hAnsi="Calibri"/>
      <w:color w:val="auto"/>
      <w:szCs w:val="24"/>
    </w:rPr>
  </w:style>
  <w:style w:type="paragraph" w:customStyle="1" w:styleId="475">
    <w:name w:val="Char32"/>
    <w:basedOn w:val="1"/>
    <w:qFormat/>
    <w:uiPriority w:val="0"/>
    <w:pPr>
      <w:widowControl w:val="0"/>
      <w:tabs>
        <w:tab w:val="left" w:pos="794"/>
        <w:tab w:val="left" w:pos="1191"/>
        <w:tab w:val="left" w:pos="1588"/>
        <w:tab w:val="left" w:pos="1985"/>
      </w:tabs>
      <w:autoSpaceDE w:val="0"/>
      <w:autoSpaceDN w:val="0"/>
      <w:adjustRightInd w:val="0"/>
      <w:spacing w:before="136"/>
      <w:jc w:val="both"/>
    </w:pPr>
    <w:rPr>
      <w:rFonts w:ascii="Tahoma" w:hAnsi="Tahoma"/>
      <w:sz w:val="24"/>
      <w:lang w:val="en-GB"/>
    </w:rPr>
  </w:style>
  <w:style w:type="paragraph" w:customStyle="1" w:styleId="476">
    <w:name w:val="样式 标题 1刘兵12标题 1    第一章H1自标题 1技术标题1Section Head标题 1 1标书1..."/>
    <w:basedOn w:val="2"/>
    <w:qFormat/>
    <w:uiPriority w:val="0"/>
    <w:pPr>
      <w:keepNext w:val="0"/>
      <w:keepLines w:val="0"/>
      <w:widowControl w:val="0"/>
      <w:tabs>
        <w:tab w:val="left" w:pos="360"/>
      </w:tabs>
      <w:spacing w:before="120" w:after="240" w:line="360" w:lineRule="auto"/>
      <w:jc w:val="center"/>
    </w:pPr>
    <w:rPr>
      <w:rFonts w:ascii="黑体" w:hAnsi="Arial" w:eastAsia="黑体" w:cs="宋体"/>
      <w:sz w:val="24"/>
      <w:szCs w:val="20"/>
    </w:rPr>
  </w:style>
  <w:style w:type="paragraph" w:customStyle="1" w:styleId="477">
    <w:name w:val="_Style 21"/>
    <w:basedOn w:val="1"/>
    <w:next w:val="43"/>
    <w:qFormat/>
    <w:uiPriority w:val="0"/>
    <w:pPr>
      <w:widowControl w:val="0"/>
      <w:spacing w:before="240" w:line="500" w:lineRule="exact"/>
      <w:ind w:firstLine="560"/>
    </w:pPr>
    <w:rPr>
      <w:rFonts w:ascii="宋体" w:hAnsi="宋体"/>
      <w:kern w:val="2"/>
      <w:sz w:val="26"/>
    </w:rPr>
  </w:style>
  <w:style w:type="paragraph" w:customStyle="1" w:styleId="478">
    <w:name w:val="修订2"/>
    <w:qFormat/>
    <w:uiPriority w:val="0"/>
    <w:rPr>
      <w:rFonts w:ascii="Times New Roman" w:hAnsi="Times New Roman" w:eastAsia="宋体" w:cs="Times New Roman"/>
      <w:lang w:val="en-US" w:eastAsia="zh-CN" w:bidi="ar-SA"/>
    </w:rPr>
  </w:style>
  <w:style w:type="paragraph" w:customStyle="1" w:styleId="479">
    <w:name w:val="正文1"/>
    <w:qFormat/>
    <w:uiPriority w:val="0"/>
    <w:pPr>
      <w:widowControl w:val="0"/>
      <w:adjustRightInd w:val="0"/>
      <w:spacing w:after="200" w:line="312" w:lineRule="atLeast"/>
      <w:jc w:val="both"/>
    </w:pPr>
    <w:rPr>
      <w:rFonts w:ascii="宋体" w:hAnsi="Times New Roman" w:eastAsia="宋体" w:cs="Times New Roman"/>
      <w:sz w:val="34"/>
      <w:szCs w:val="22"/>
      <w:lang w:val="en-US" w:eastAsia="zh-CN" w:bidi="ar-SA"/>
    </w:rPr>
  </w:style>
  <w:style w:type="paragraph" w:customStyle="1" w:styleId="480">
    <w:name w:val="CM192"/>
    <w:basedOn w:val="102"/>
    <w:next w:val="102"/>
    <w:qFormat/>
    <w:uiPriority w:val="0"/>
    <w:pPr>
      <w:adjustRightInd w:val="0"/>
    </w:pPr>
    <w:rPr>
      <w:rFonts w:hAnsi="Calibri"/>
      <w:color w:val="auto"/>
      <w:szCs w:val="24"/>
    </w:rPr>
  </w:style>
  <w:style w:type="paragraph" w:customStyle="1" w:styleId="481">
    <w:name w:val="CM123"/>
    <w:basedOn w:val="102"/>
    <w:next w:val="102"/>
    <w:qFormat/>
    <w:uiPriority w:val="0"/>
    <w:pPr>
      <w:adjustRightInd w:val="0"/>
      <w:spacing w:line="273" w:lineRule="atLeast"/>
    </w:pPr>
    <w:rPr>
      <w:rFonts w:hAnsi="Calibri"/>
      <w:color w:val="auto"/>
      <w:szCs w:val="24"/>
    </w:rPr>
  </w:style>
  <w:style w:type="paragraph" w:customStyle="1" w:styleId="482">
    <w:name w:val="pa-34"/>
    <w:basedOn w:val="1"/>
    <w:qFormat/>
    <w:uiPriority w:val="0"/>
    <w:pPr>
      <w:spacing w:line="360" w:lineRule="atLeast"/>
      <w:ind w:firstLine="420"/>
    </w:pPr>
    <w:rPr>
      <w:rFonts w:ascii="宋体" w:hAnsi="宋体" w:cs="宋体"/>
      <w:sz w:val="24"/>
      <w:szCs w:val="24"/>
    </w:rPr>
  </w:style>
  <w:style w:type="paragraph" w:customStyle="1" w:styleId="483">
    <w:name w:val="css1"/>
    <w:basedOn w:val="1"/>
    <w:qFormat/>
    <w:uiPriority w:val="0"/>
    <w:pPr>
      <w:spacing w:before="100" w:beforeAutospacing="1" w:after="100" w:afterAutospacing="1" w:line="360" w:lineRule="auto"/>
    </w:pPr>
    <w:rPr>
      <w:rFonts w:ascii="宋体" w:hAnsi="宋体"/>
      <w:color w:val="000000"/>
      <w:sz w:val="18"/>
      <w:szCs w:val="18"/>
    </w:rPr>
  </w:style>
  <w:style w:type="paragraph" w:customStyle="1" w:styleId="484">
    <w:name w:val="Char Char Char Char Char Char1"/>
    <w:basedOn w:val="1"/>
    <w:qFormat/>
    <w:uiPriority w:val="0"/>
    <w:pPr>
      <w:widowControl w:val="0"/>
      <w:adjustRightInd w:val="0"/>
      <w:spacing w:line="360" w:lineRule="auto"/>
      <w:jc w:val="both"/>
    </w:pPr>
    <w:rPr>
      <w:sz w:val="24"/>
    </w:rPr>
  </w:style>
  <w:style w:type="paragraph" w:customStyle="1" w:styleId="485">
    <w:name w:val="Char3"/>
    <w:basedOn w:val="1"/>
    <w:qFormat/>
    <w:uiPriority w:val="0"/>
    <w:pPr>
      <w:widowControl w:val="0"/>
      <w:tabs>
        <w:tab w:val="left" w:pos="794"/>
        <w:tab w:val="left" w:pos="1191"/>
        <w:tab w:val="left" w:pos="1588"/>
        <w:tab w:val="left" w:pos="1985"/>
      </w:tabs>
      <w:autoSpaceDE w:val="0"/>
      <w:autoSpaceDN w:val="0"/>
      <w:adjustRightInd w:val="0"/>
      <w:spacing w:before="136"/>
      <w:jc w:val="both"/>
    </w:pPr>
    <w:rPr>
      <w:rFonts w:ascii="Tahoma" w:hAnsi="Tahoma"/>
      <w:sz w:val="24"/>
      <w:lang w:val="en-GB"/>
    </w:rPr>
  </w:style>
  <w:style w:type="paragraph" w:customStyle="1" w:styleId="486">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87">
    <w:name w:val="CM75"/>
    <w:basedOn w:val="102"/>
    <w:next w:val="102"/>
    <w:qFormat/>
    <w:uiPriority w:val="0"/>
    <w:pPr>
      <w:adjustRightInd w:val="0"/>
      <w:spacing w:line="478" w:lineRule="atLeast"/>
    </w:pPr>
    <w:rPr>
      <w:rFonts w:hAnsi="Calibri"/>
      <w:color w:val="auto"/>
      <w:szCs w:val="24"/>
    </w:rPr>
  </w:style>
  <w:style w:type="paragraph" w:customStyle="1" w:styleId="488">
    <w:name w:val="样式 标题 1 + 段前: 0.5 行 段后: 0.5 行"/>
    <w:basedOn w:val="2"/>
    <w:qFormat/>
    <w:uiPriority w:val="0"/>
    <w:pPr>
      <w:widowControl w:val="0"/>
      <w:tabs>
        <w:tab w:val="left" w:pos="360"/>
        <w:tab w:val="left" w:pos="6120"/>
      </w:tabs>
      <w:adjustRightInd w:val="0"/>
      <w:spacing w:before="156" w:beforeLines="50" w:after="156" w:afterLines="50" w:line="240" w:lineRule="auto"/>
      <w:ind w:left="450" w:leftChars="514" w:right="924" w:rightChars="440" w:hanging="450"/>
      <w:jc w:val="center"/>
      <w:textAlignment w:val="baseline"/>
    </w:pPr>
    <w:rPr>
      <w:sz w:val="36"/>
      <w:szCs w:val="20"/>
    </w:rPr>
  </w:style>
  <w:style w:type="paragraph" w:customStyle="1" w:styleId="489">
    <w:name w:val="CM53"/>
    <w:basedOn w:val="102"/>
    <w:next w:val="102"/>
    <w:qFormat/>
    <w:uiPriority w:val="0"/>
    <w:pPr>
      <w:adjustRightInd w:val="0"/>
      <w:spacing w:line="400" w:lineRule="atLeast"/>
    </w:pPr>
    <w:rPr>
      <w:rFonts w:hAnsi="Calibri"/>
      <w:color w:val="auto"/>
      <w:szCs w:val="24"/>
    </w:rPr>
  </w:style>
  <w:style w:type="paragraph" w:customStyle="1" w:styleId="490">
    <w:name w:val="_Style 55"/>
    <w:next w:val="1"/>
    <w:qFormat/>
    <w:uiPriority w:val="0"/>
    <w:rPr>
      <w:rFonts w:ascii="Times New Roman" w:hAnsi="Times New Roman" w:eastAsia="宋体" w:cs="Times New Roman"/>
      <w:lang w:val="en-US" w:eastAsia="zh-CN" w:bidi="ar-SA"/>
    </w:rPr>
  </w:style>
  <w:style w:type="paragraph" w:customStyle="1" w:styleId="491">
    <w:name w:val="CM124"/>
    <w:basedOn w:val="102"/>
    <w:next w:val="102"/>
    <w:qFormat/>
    <w:uiPriority w:val="0"/>
    <w:pPr>
      <w:adjustRightInd w:val="0"/>
      <w:spacing w:line="273" w:lineRule="atLeast"/>
    </w:pPr>
    <w:rPr>
      <w:rFonts w:hAnsi="Calibri"/>
      <w:color w:val="auto"/>
      <w:szCs w:val="24"/>
    </w:rPr>
  </w:style>
  <w:style w:type="paragraph" w:customStyle="1" w:styleId="492">
    <w:name w:val="Char Char Char Char Char Char Char Char Char Char Char Char Char Char Char Char Char Char Char Char Char Char Char Char Char Char Char Char1"/>
    <w:basedOn w:val="1"/>
    <w:qFormat/>
    <w:uiPriority w:val="0"/>
    <w:pPr>
      <w:spacing w:after="160" w:line="240" w:lineRule="exact"/>
    </w:pPr>
    <w:rPr>
      <w:rFonts w:ascii="Verdana" w:hAnsi="Verdana" w:eastAsia="仿宋_GB2312"/>
      <w:sz w:val="24"/>
      <w:lang w:eastAsia="en-US"/>
    </w:rPr>
  </w:style>
  <w:style w:type="paragraph" w:customStyle="1" w:styleId="493">
    <w:name w:val="rr"/>
    <w:basedOn w:val="1"/>
    <w:qFormat/>
    <w:uiPriority w:val="0"/>
    <w:pPr>
      <w:spacing w:before="100" w:beforeAutospacing="1" w:after="100" w:afterAutospacing="1"/>
    </w:pPr>
    <w:rPr>
      <w:rFonts w:hint="eastAsia" w:ascii="宋体" w:hAnsi="宋体"/>
      <w:sz w:val="21"/>
      <w:szCs w:val="21"/>
    </w:rPr>
  </w:style>
  <w:style w:type="paragraph" w:customStyle="1" w:styleId="494">
    <w:name w:val="CM64"/>
    <w:basedOn w:val="102"/>
    <w:next w:val="102"/>
    <w:qFormat/>
    <w:uiPriority w:val="0"/>
    <w:pPr>
      <w:adjustRightInd w:val="0"/>
      <w:spacing w:line="400" w:lineRule="atLeast"/>
    </w:pPr>
    <w:rPr>
      <w:rFonts w:hAnsi="Calibri"/>
      <w:color w:val="auto"/>
      <w:szCs w:val="24"/>
    </w:rPr>
  </w:style>
  <w:style w:type="paragraph" w:customStyle="1" w:styleId="495">
    <w:name w:val="CM52"/>
    <w:basedOn w:val="102"/>
    <w:next w:val="102"/>
    <w:qFormat/>
    <w:uiPriority w:val="0"/>
    <w:pPr>
      <w:adjustRightInd w:val="0"/>
      <w:spacing w:line="398" w:lineRule="atLeast"/>
    </w:pPr>
    <w:rPr>
      <w:rFonts w:hAnsi="Calibri"/>
      <w:color w:val="auto"/>
      <w:szCs w:val="24"/>
    </w:rPr>
  </w:style>
  <w:style w:type="paragraph" w:customStyle="1" w:styleId="496">
    <w:name w:val="CM116"/>
    <w:basedOn w:val="102"/>
    <w:next w:val="102"/>
    <w:qFormat/>
    <w:uiPriority w:val="0"/>
    <w:pPr>
      <w:adjustRightInd w:val="0"/>
    </w:pPr>
    <w:rPr>
      <w:rFonts w:hAnsi="Calibri"/>
      <w:color w:val="auto"/>
      <w:szCs w:val="24"/>
    </w:rPr>
  </w:style>
  <w:style w:type="paragraph" w:customStyle="1" w:styleId="497">
    <w:name w:val="样式 标题 2"/>
    <w:basedOn w:val="1"/>
    <w:next w:val="4"/>
    <w:qFormat/>
    <w:uiPriority w:val="0"/>
    <w:pPr>
      <w:widowControl w:val="0"/>
      <w:snapToGrid w:val="0"/>
      <w:spacing w:line="360" w:lineRule="auto"/>
      <w:ind w:firstLine="200" w:firstLineChars="200"/>
      <w:jc w:val="both"/>
    </w:pPr>
    <w:rPr>
      <w:rFonts w:eastAsia="仿宋_GB2312"/>
      <w:kern w:val="2"/>
      <w:sz w:val="32"/>
      <w:szCs w:val="32"/>
    </w:rPr>
  </w:style>
  <w:style w:type="paragraph" w:customStyle="1" w:styleId="498">
    <w:name w:val="CM39"/>
    <w:basedOn w:val="102"/>
    <w:next w:val="102"/>
    <w:qFormat/>
    <w:uiPriority w:val="0"/>
    <w:pPr>
      <w:adjustRightInd w:val="0"/>
      <w:spacing w:line="406" w:lineRule="atLeast"/>
    </w:pPr>
    <w:rPr>
      <w:rFonts w:hAnsi="Calibri"/>
      <w:color w:val="auto"/>
      <w:szCs w:val="24"/>
    </w:rPr>
  </w:style>
  <w:style w:type="paragraph" w:customStyle="1" w:styleId="499">
    <w:name w:val="目录"/>
    <w:basedOn w:val="1"/>
    <w:qFormat/>
    <w:uiPriority w:val="0"/>
    <w:pPr>
      <w:jc w:val="center"/>
    </w:pPr>
    <w:rPr>
      <w:rFonts w:ascii="宋体"/>
      <w:b/>
      <w:sz w:val="36"/>
    </w:rPr>
  </w:style>
  <w:style w:type="paragraph" w:customStyle="1" w:styleId="500">
    <w:name w:val="引用2"/>
    <w:basedOn w:val="1"/>
    <w:next w:val="1"/>
    <w:qFormat/>
    <w:uiPriority w:val="0"/>
    <w:pPr>
      <w:widowControl w:val="0"/>
      <w:jc w:val="both"/>
    </w:pPr>
    <w:rPr>
      <w:i/>
      <w:color w:val="000000"/>
      <w:kern w:val="2"/>
      <w:sz w:val="22"/>
    </w:rPr>
  </w:style>
  <w:style w:type="paragraph" w:customStyle="1" w:styleId="501">
    <w:name w:val="样式 正文缩进正文（首行缩进两字）特点ALT+Z表正文正文非缩进四号段1Normal Indent Char2...3"/>
    <w:basedOn w:val="5"/>
    <w:next w:val="6"/>
    <w:qFormat/>
    <w:uiPriority w:val="0"/>
    <w:pPr>
      <w:widowControl w:val="0"/>
      <w:tabs>
        <w:tab w:val="left" w:pos="2160"/>
      </w:tabs>
      <w:adjustRightInd w:val="0"/>
      <w:spacing w:line="360" w:lineRule="auto"/>
      <w:ind w:left="2160" w:hanging="420"/>
      <w:textAlignment w:val="baseline"/>
    </w:pPr>
    <w:rPr>
      <w:rFonts w:ascii="宋体" w:hAnsi="宋体" w:eastAsia="宋体" w:cs="宋体"/>
      <w:bCs w:val="0"/>
      <w:sz w:val="24"/>
      <w:szCs w:val="24"/>
    </w:rPr>
  </w:style>
  <w:style w:type="paragraph" w:customStyle="1" w:styleId="502">
    <w:name w:val="List Paragraph1"/>
    <w:basedOn w:val="1"/>
    <w:qFormat/>
    <w:uiPriority w:val="0"/>
    <w:pPr>
      <w:adjustRightInd w:val="0"/>
      <w:snapToGrid w:val="0"/>
      <w:spacing w:after="200"/>
      <w:ind w:firstLine="420" w:firstLineChars="200"/>
    </w:pPr>
    <w:rPr>
      <w:rFonts w:ascii="Tahoma" w:hAnsi="Tahoma" w:eastAsia="微软雅黑"/>
      <w:sz w:val="22"/>
      <w:szCs w:val="22"/>
    </w:rPr>
  </w:style>
  <w:style w:type="paragraph" w:customStyle="1" w:styleId="503">
    <w:name w:val="CM110"/>
    <w:basedOn w:val="102"/>
    <w:next w:val="102"/>
    <w:qFormat/>
    <w:uiPriority w:val="0"/>
    <w:pPr>
      <w:adjustRightInd w:val="0"/>
      <w:spacing w:line="340" w:lineRule="atLeast"/>
    </w:pPr>
    <w:rPr>
      <w:rFonts w:hAnsi="Calibri"/>
      <w:color w:val="auto"/>
      <w:szCs w:val="24"/>
    </w:rPr>
  </w:style>
  <w:style w:type="paragraph" w:customStyle="1" w:styleId="504">
    <w:name w:val="Char11"/>
    <w:basedOn w:val="1"/>
    <w:qFormat/>
    <w:uiPriority w:val="0"/>
    <w:pPr>
      <w:tabs>
        <w:tab w:val="left" w:pos="425"/>
      </w:tabs>
      <w:spacing w:before="312" w:beforeLines="100" w:after="160" w:line="240" w:lineRule="exact"/>
      <w:ind w:left="425" w:hanging="425"/>
    </w:pPr>
    <w:rPr>
      <w:rFonts w:ascii="Verdana" w:hAnsi="Verdana" w:eastAsia="黑体"/>
      <w:lang w:eastAsia="en-US"/>
    </w:rPr>
  </w:style>
  <w:style w:type="paragraph" w:customStyle="1" w:styleId="505">
    <w:name w:val="样式 表格内容 + 居中"/>
    <w:basedOn w:val="343"/>
    <w:qFormat/>
    <w:uiPriority w:val="0"/>
    <w:rPr>
      <w:rFonts w:cs="宋体"/>
    </w:rPr>
  </w:style>
  <w:style w:type="paragraph" w:customStyle="1" w:styleId="506">
    <w:name w:val="CM206"/>
    <w:basedOn w:val="102"/>
    <w:next w:val="102"/>
    <w:qFormat/>
    <w:uiPriority w:val="0"/>
    <w:pPr>
      <w:adjustRightInd w:val="0"/>
    </w:pPr>
    <w:rPr>
      <w:rFonts w:hAnsi="Calibri"/>
      <w:color w:val="auto"/>
      <w:szCs w:val="24"/>
    </w:rPr>
  </w:style>
  <w:style w:type="paragraph" w:customStyle="1" w:styleId="507">
    <w:name w:val="样式 样式 样式5 + 首行缩进:  2 字符 + 首行缩进:  2 字符 段前: 0.8 行 段后: 0.6 行"/>
    <w:basedOn w:val="508"/>
    <w:qFormat/>
    <w:uiPriority w:val="0"/>
    <w:pPr>
      <w:ind w:firstLine="0" w:firstLineChars="0"/>
    </w:pPr>
    <w:rPr>
      <w:rFonts w:ascii="仿宋_GB2312" w:hAnsi="仿宋" w:eastAsia="仿宋_GB2312"/>
      <w:b/>
      <w:sz w:val="20"/>
      <w:szCs w:val="20"/>
    </w:rPr>
  </w:style>
  <w:style w:type="paragraph" w:customStyle="1" w:styleId="508">
    <w:name w:val="样式 样式5 + 首行缩进:  2 字符"/>
    <w:qFormat/>
    <w:uiPriority w:val="0"/>
    <w:pPr>
      <w:ind w:firstLine="200" w:firstLineChars="200"/>
      <w:jc w:val="both"/>
    </w:pPr>
    <w:rPr>
      <w:rFonts w:ascii="Times New Roman" w:hAnsi="Times New Roman" w:eastAsia="宋体" w:cs="宋体"/>
      <w:sz w:val="24"/>
      <w:szCs w:val="24"/>
      <w:lang w:val="en-US" w:eastAsia="zh-CN" w:bidi="ar-SA"/>
    </w:rPr>
  </w:style>
  <w:style w:type="paragraph" w:customStyle="1" w:styleId="509">
    <w:name w:val="CM22"/>
    <w:basedOn w:val="102"/>
    <w:next w:val="102"/>
    <w:qFormat/>
    <w:uiPriority w:val="0"/>
    <w:pPr>
      <w:adjustRightInd w:val="0"/>
    </w:pPr>
    <w:rPr>
      <w:rFonts w:hAnsi="Calibri"/>
      <w:color w:val="auto"/>
      <w:szCs w:val="24"/>
    </w:rPr>
  </w:style>
  <w:style w:type="paragraph" w:customStyle="1" w:styleId="510">
    <w:name w:val="CM111"/>
    <w:basedOn w:val="102"/>
    <w:next w:val="102"/>
    <w:qFormat/>
    <w:uiPriority w:val="0"/>
    <w:pPr>
      <w:adjustRightInd w:val="0"/>
      <w:spacing w:line="340" w:lineRule="atLeast"/>
    </w:pPr>
    <w:rPr>
      <w:rFonts w:hAnsi="Calibri"/>
      <w:color w:val="auto"/>
      <w:szCs w:val="24"/>
    </w:rPr>
  </w:style>
  <w:style w:type="paragraph" w:customStyle="1" w:styleId="511">
    <w:name w:val="Char Char Char1 Char"/>
    <w:basedOn w:val="1"/>
    <w:qFormat/>
    <w:uiPriority w:val="0"/>
    <w:pPr>
      <w:widowControl w:val="0"/>
      <w:jc w:val="both"/>
    </w:pPr>
    <w:rPr>
      <w:kern w:val="2"/>
      <w:sz w:val="21"/>
      <w:szCs w:val="21"/>
    </w:rPr>
  </w:style>
  <w:style w:type="paragraph" w:customStyle="1" w:styleId="512">
    <w:name w:val="xl32"/>
    <w:basedOn w:val="1"/>
    <w:qFormat/>
    <w:uiPriority w:val="0"/>
    <w:pPr>
      <w:pBdr>
        <w:top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sz w:val="18"/>
      <w:szCs w:val="18"/>
    </w:rPr>
  </w:style>
  <w:style w:type="paragraph" w:customStyle="1" w:styleId="513">
    <w:name w:val="CM95"/>
    <w:basedOn w:val="102"/>
    <w:next w:val="102"/>
    <w:qFormat/>
    <w:uiPriority w:val="0"/>
    <w:pPr>
      <w:adjustRightInd w:val="0"/>
      <w:spacing w:line="273" w:lineRule="atLeast"/>
    </w:pPr>
    <w:rPr>
      <w:rFonts w:hAnsi="Calibri"/>
      <w:color w:val="auto"/>
      <w:szCs w:val="24"/>
    </w:rPr>
  </w:style>
  <w:style w:type="paragraph" w:customStyle="1" w:styleId="514">
    <w:name w:val="CM138"/>
    <w:basedOn w:val="102"/>
    <w:next w:val="102"/>
    <w:qFormat/>
    <w:uiPriority w:val="0"/>
    <w:pPr>
      <w:adjustRightInd w:val="0"/>
      <w:spacing w:line="273" w:lineRule="atLeast"/>
    </w:pPr>
    <w:rPr>
      <w:rFonts w:hAnsi="Calibri"/>
      <w:color w:val="auto"/>
      <w:szCs w:val="24"/>
    </w:rPr>
  </w:style>
  <w:style w:type="paragraph" w:customStyle="1" w:styleId="515">
    <w:name w:val="_Style 27"/>
    <w:basedOn w:val="1"/>
    <w:next w:val="24"/>
    <w:qFormat/>
    <w:uiPriority w:val="0"/>
    <w:pPr>
      <w:widowControl w:val="0"/>
      <w:adjustRightInd w:val="0"/>
      <w:ind w:left="420" w:right="33"/>
      <w:textAlignment w:val="baseline"/>
    </w:pPr>
    <w:rPr>
      <w:sz w:val="24"/>
    </w:rPr>
  </w:style>
  <w:style w:type="paragraph" w:customStyle="1" w:styleId="516">
    <w:name w:val="List Paragraph11"/>
    <w:basedOn w:val="1"/>
    <w:qFormat/>
    <w:uiPriority w:val="0"/>
    <w:pPr>
      <w:widowControl w:val="0"/>
      <w:ind w:firstLine="420" w:firstLineChars="200"/>
      <w:jc w:val="both"/>
    </w:pPr>
    <w:rPr>
      <w:rFonts w:ascii="Calibri" w:hAnsi="Calibri" w:cs="Calibri"/>
      <w:kern w:val="2"/>
      <w:sz w:val="21"/>
      <w:szCs w:val="21"/>
    </w:rPr>
  </w:style>
  <w:style w:type="paragraph" w:customStyle="1" w:styleId="517">
    <w:name w:val="样式 标题 1 + (西文) MingLiU (中文) 宋体 小四"/>
    <w:basedOn w:val="2"/>
    <w:qFormat/>
    <w:uiPriority w:val="0"/>
    <w:pPr>
      <w:widowControl w:val="0"/>
    </w:pPr>
    <w:rPr>
      <w:rFonts w:ascii="MingLiU" w:hAnsi="MingLiU"/>
      <w:color w:val="000000"/>
      <w:sz w:val="24"/>
      <w:szCs w:val="20"/>
      <w:shd w:val="pct10" w:color="auto" w:fill="FFFFFF"/>
    </w:rPr>
  </w:style>
  <w:style w:type="paragraph" w:customStyle="1" w:styleId="518">
    <w:name w:val="CM87"/>
    <w:basedOn w:val="102"/>
    <w:next w:val="102"/>
    <w:qFormat/>
    <w:uiPriority w:val="0"/>
    <w:pPr>
      <w:adjustRightInd w:val="0"/>
      <w:spacing w:line="391" w:lineRule="atLeast"/>
    </w:pPr>
    <w:rPr>
      <w:rFonts w:hAnsi="Calibri"/>
      <w:color w:val="auto"/>
      <w:szCs w:val="24"/>
    </w:rPr>
  </w:style>
  <w:style w:type="paragraph" w:customStyle="1" w:styleId="519">
    <w:name w:val="字元"/>
    <w:basedOn w:val="1"/>
    <w:qFormat/>
    <w:uiPriority w:val="0"/>
    <w:pPr>
      <w:widowControl w:val="0"/>
      <w:jc w:val="both"/>
    </w:pPr>
    <w:rPr>
      <w:rFonts w:ascii="Tahoma" w:hAnsi="Tahoma"/>
      <w:kern w:val="2"/>
      <w:sz w:val="24"/>
    </w:rPr>
  </w:style>
  <w:style w:type="paragraph" w:customStyle="1" w:styleId="520">
    <w:name w:val="+标题3"/>
    <w:basedOn w:val="4"/>
    <w:qFormat/>
    <w:uiPriority w:val="0"/>
    <w:pPr>
      <w:widowControl w:val="0"/>
      <w:numPr>
        <w:ilvl w:val="2"/>
        <w:numId w:val="1"/>
      </w:numPr>
      <w:tabs>
        <w:tab w:val="left" w:pos="1260"/>
      </w:tabs>
      <w:spacing w:before="120" w:after="120" w:line="360" w:lineRule="auto"/>
      <w:jc w:val="both"/>
    </w:pPr>
    <w:rPr>
      <w:rFonts w:eastAsia="黑体"/>
      <w:b w:val="0"/>
      <w:sz w:val="24"/>
      <w:szCs w:val="28"/>
    </w:rPr>
  </w:style>
  <w:style w:type="paragraph" w:customStyle="1" w:styleId="521">
    <w:name w:val="CM56"/>
    <w:basedOn w:val="102"/>
    <w:next w:val="102"/>
    <w:qFormat/>
    <w:uiPriority w:val="0"/>
    <w:pPr>
      <w:adjustRightInd w:val="0"/>
      <w:spacing w:line="491" w:lineRule="atLeast"/>
    </w:pPr>
    <w:rPr>
      <w:rFonts w:hAnsi="Calibri"/>
      <w:color w:val="auto"/>
      <w:szCs w:val="24"/>
    </w:rPr>
  </w:style>
  <w:style w:type="paragraph" w:customStyle="1" w:styleId="522">
    <w:name w:val="xl50"/>
    <w:basedOn w:val="1"/>
    <w:qFormat/>
    <w:uiPriority w:val="0"/>
    <w:pPr>
      <w:pBdr>
        <w:bottom w:val="single" w:color="auto" w:sz="4" w:space="0"/>
      </w:pBdr>
      <w:spacing w:before="100" w:beforeAutospacing="1" w:after="100" w:afterAutospacing="1"/>
    </w:pPr>
    <w:rPr>
      <w:rFonts w:ascii="Arial Unicode MS" w:hAnsi="Arial Unicode MS" w:eastAsia="Arial Unicode MS" w:cs="Arial Unicode MS"/>
      <w:b/>
      <w:bCs/>
      <w:sz w:val="22"/>
      <w:szCs w:val="22"/>
    </w:rPr>
  </w:style>
  <w:style w:type="paragraph" w:customStyle="1" w:styleId="523">
    <w:name w:val="Char31"/>
    <w:basedOn w:val="1"/>
    <w:qFormat/>
    <w:uiPriority w:val="0"/>
    <w:pPr>
      <w:widowControl w:val="0"/>
      <w:tabs>
        <w:tab w:val="left" w:pos="794"/>
        <w:tab w:val="left" w:pos="1191"/>
        <w:tab w:val="left" w:pos="1588"/>
        <w:tab w:val="left" w:pos="1985"/>
      </w:tabs>
      <w:autoSpaceDE w:val="0"/>
      <w:autoSpaceDN w:val="0"/>
      <w:adjustRightInd w:val="0"/>
      <w:spacing w:before="136"/>
      <w:jc w:val="both"/>
    </w:pPr>
    <w:rPr>
      <w:rFonts w:ascii="Tahoma" w:hAnsi="Tahoma"/>
      <w:sz w:val="24"/>
      <w:lang w:val="en-GB"/>
    </w:rPr>
  </w:style>
  <w:style w:type="paragraph" w:customStyle="1" w:styleId="524">
    <w:name w:val="TOC 标题21"/>
    <w:basedOn w:val="2"/>
    <w:next w:val="1"/>
    <w:qFormat/>
    <w:uiPriority w:val="0"/>
    <w:pPr>
      <w:spacing w:before="480" w:after="0" w:line="276" w:lineRule="auto"/>
      <w:outlineLvl w:val="9"/>
    </w:pPr>
    <w:rPr>
      <w:rFonts w:ascii="Cambria" w:hAnsi="Cambria"/>
      <w:color w:val="365F91"/>
      <w:kern w:val="0"/>
      <w:sz w:val="28"/>
      <w:szCs w:val="28"/>
    </w:rPr>
  </w:style>
  <w:style w:type="paragraph" w:customStyle="1" w:styleId="525">
    <w:name w:val="CM128"/>
    <w:basedOn w:val="102"/>
    <w:next w:val="102"/>
    <w:qFormat/>
    <w:uiPriority w:val="0"/>
    <w:pPr>
      <w:adjustRightInd w:val="0"/>
    </w:pPr>
    <w:rPr>
      <w:rFonts w:hAnsi="Calibri"/>
      <w:color w:val="auto"/>
      <w:szCs w:val="24"/>
    </w:rPr>
  </w:style>
  <w:style w:type="paragraph" w:customStyle="1" w:styleId="526">
    <w:name w:val="CM195"/>
    <w:basedOn w:val="102"/>
    <w:next w:val="102"/>
    <w:qFormat/>
    <w:uiPriority w:val="0"/>
    <w:pPr>
      <w:adjustRightInd w:val="0"/>
    </w:pPr>
    <w:rPr>
      <w:rFonts w:hAnsi="Calibri"/>
      <w:color w:val="auto"/>
      <w:szCs w:val="24"/>
    </w:rPr>
  </w:style>
  <w:style w:type="paragraph" w:customStyle="1" w:styleId="527">
    <w:name w:val="Char1"/>
    <w:basedOn w:val="1"/>
    <w:qFormat/>
    <w:uiPriority w:val="0"/>
    <w:pPr>
      <w:spacing w:line="400" w:lineRule="exact"/>
      <w:jc w:val="center"/>
    </w:pPr>
    <w:rPr>
      <w:rFonts w:ascii="Verdana" w:hAnsi="Verdana"/>
      <w:sz w:val="21"/>
      <w:lang w:eastAsia="en-US"/>
    </w:rPr>
  </w:style>
  <w:style w:type="paragraph" w:customStyle="1" w:styleId="528">
    <w:name w:val="样式 日期 + 黑体 三号"/>
    <w:basedOn w:val="30"/>
    <w:qFormat/>
    <w:uiPriority w:val="0"/>
    <w:pPr>
      <w:widowControl w:val="0"/>
      <w:spacing w:line="600" w:lineRule="exact"/>
      <w:ind w:left="0" w:leftChars="0"/>
      <w:jc w:val="both"/>
    </w:pPr>
    <w:rPr>
      <w:rFonts w:ascii="黑体" w:hAnsi="黑体" w:eastAsia="黑体"/>
      <w:kern w:val="2"/>
      <w:sz w:val="32"/>
      <w:szCs w:val="24"/>
    </w:rPr>
  </w:style>
  <w:style w:type="paragraph" w:customStyle="1" w:styleId="529">
    <w:name w:val="CM114"/>
    <w:basedOn w:val="102"/>
    <w:next w:val="102"/>
    <w:qFormat/>
    <w:uiPriority w:val="0"/>
    <w:pPr>
      <w:adjustRightInd w:val="0"/>
      <w:spacing w:line="340" w:lineRule="atLeast"/>
    </w:pPr>
    <w:rPr>
      <w:rFonts w:hAnsi="Calibri"/>
      <w:color w:val="auto"/>
      <w:szCs w:val="24"/>
    </w:rPr>
  </w:style>
  <w:style w:type="paragraph" w:customStyle="1" w:styleId="530">
    <w:name w:val="Char21"/>
    <w:basedOn w:val="1"/>
    <w:qFormat/>
    <w:uiPriority w:val="0"/>
    <w:pPr>
      <w:tabs>
        <w:tab w:val="left" w:pos="425"/>
      </w:tabs>
      <w:spacing w:before="312" w:beforeLines="100" w:after="160" w:line="240" w:lineRule="exact"/>
      <w:ind w:left="425" w:hanging="425"/>
    </w:pPr>
    <w:rPr>
      <w:rFonts w:ascii="Verdana" w:hAnsi="Verdana" w:eastAsia="黑体"/>
      <w:lang w:eastAsia="en-US"/>
    </w:rPr>
  </w:style>
  <w:style w:type="paragraph" w:customStyle="1" w:styleId="531">
    <w:name w:val="CM55"/>
    <w:basedOn w:val="102"/>
    <w:next w:val="102"/>
    <w:qFormat/>
    <w:uiPriority w:val="0"/>
    <w:pPr>
      <w:adjustRightInd w:val="0"/>
    </w:pPr>
    <w:rPr>
      <w:rFonts w:hAnsi="Calibri"/>
      <w:color w:val="auto"/>
      <w:szCs w:val="24"/>
    </w:rPr>
  </w:style>
  <w:style w:type="paragraph" w:customStyle="1" w:styleId="532">
    <w:name w:val="xl40"/>
    <w:basedOn w:val="1"/>
    <w:qFormat/>
    <w:uiPriority w:val="0"/>
    <w:pPr>
      <w:pBdr>
        <w:top w:val="single" w:color="auto" w:sz="4" w:space="0"/>
      </w:pBdr>
      <w:spacing w:before="100" w:beforeAutospacing="1" w:after="100" w:afterAutospacing="1"/>
    </w:pPr>
    <w:rPr>
      <w:rFonts w:ascii="Arial Unicode MS" w:hAnsi="Arial Unicode MS" w:eastAsia="Arial Unicode MS" w:cs="Arial Unicode MS"/>
      <w:b/>
      <w:bCs/>
    </w:rPr>
  </w:style>
  <w:style w:type="paragraph" w:customStyle="1" w:styleId="533">
    <w:name w:val="geshi1"/>
    <w:basedOn w:val="1"/>
    <w:qFormat/>
    <w:uiPriority w:val="0"/>
    <w:pPr>
      <w:spacing w:before="100" w:beforeAutospacing="1" w:after="100" w:afterAutospacing="1"/>
    </w:pPr>
    <w:rPr>
      <w:rFonts w:ascii="宋体" w:hAnsi="宋体" w:cs="宋体"/>
      <w:sz w:val="24"/>
      <w:szCs w:val="24"/>
    </w:rPr>
  </w:style>
  <w:style w:type="paragraph" w:customStyle="1" w:styleId="534">
    <w:name w:val="CM150"/>
    <w:basedOn w:val="102"/>
    <w:next w:val="102"/>
    <w:qFormat/>
    <w:uiPriority w:val="0"/>
    <w:pPr>
      <w:adjustRightInd w:val="0"/>
    </w:pPr>
    <w:rPr>
      <w:rFonts w:hAnsi="Calibri"/>
      <w:color w:val="auto"/>
      <w:szCs w:val="24"/>
    </w:rPr>
  </w:style>
  <w:style w:type="paragraph" w:customStyle="1" w:styleId="535">
    <w:name w:val="Char Char Char Char1 Char Char Char"/>
    <w:basedOn w:val="1"/>
    <w:uiPriority w:val="0"/>
    <w:pPr>
      <w:widowControl w:val="0"/>
      <w:spacing w:line="240" w:lineRule="atLeast"/>
      <w:ind w:left="420" w:firstLine="420"/>
      <w:jc w:val="both"/>
    </w:pPr>
    <w:rPr>
      <w:sz w:val="21"/>
      <w:szCs w:val="21"/>
    </w:rPr>
  </w:style>
  <w:style w:type="paragraph" w:customStyle="1" w:styleId="536">
    <w:name w:val="CM36"/>
    <w:basedOn w:val="102"/>
    <w:next w:val="102"/>
    <w:qFormat/>
    <w:uiPriority w:val="0"/>
    <w:pPr>
      <w:adjustRightInd w:val="0"/>
      <w:spacing w:line="398" w:lineRule="atLeast"/>
    </w:pPr>
    <w:rPr>
      <w:rFonts w:hAnsi="Calibri"/>
      <w:color w:val="auto"/>
      <w:szCs w:val="24"/>
    </w:rPr>
  </w:style>
  <w:style w:type="paragraph" w:customStyle="1" w:styleId="537">
    <w:name w:val="Char Char Char Char1 Char Char Char Char Char1 Char Char Char1 Char1"/>
    <w:basedOn w:val="1"/>
    <w:qFormat/>
    <w:uiPriority w:val="0"/>
    <w:pPr>
      <w:widowControl w:val="0"/>
      <w:spacing w:line="240" w:lineRule="atLeast"/>
      <w:ind w:left="420" w:firstLine="420"/>
      <w:jc w:val="both"/>
    </w:pPr>
    <w:rPr>
      <w:kern w:val="2"/>
      <w:sz w:val="21"/>
      <w:szCs w:val="24"/>
    </w:rPr>
  </w:style>
  <w:style w:type="paragraph" w:customStyle="1" w:styleId="538">
    <w:name w:val="CM212"/>
    <w:basedOn w:val="102"/>
    <w:next w:val="102"/>
    <w:qFormat/>
    <w:uiPriority w:val="0"/>
    <w:pPr>
      <w:adjustRightInd w:val="0"/>
    </w:pPr>
    <w:rPr>
      <w:rFonts w:hAnsi="Calibri"/>
      <w:color w:val="auto"/>
      <w:szCs w:val="24"/>
    </w:rPr>
  </w:style>
  <w:style w:type="paragraph" w:customStyle="1" w:styleId="539">
    <w:name w:val="CM194"/>
    <w:basedOn w:val="102"/>
    <w:next w:val="102"/>
    <w:qFormat/>
    <w:uiPriority w:val="0"/>
    <w:pPr>
      <w:adjustRightInd w:val="0"/>
    </w:pPr>
    <w:rPr>
      <w:rFonts w:hAnsi="Calibri"/>
      <w:color w:val="auto"/>
      <w:szCs w:val="24"/>
    </w:rPr>
  </w:style>
  <w:style w:type="paragraph" w:customStyle="1" w:styleId="540">
    <w:name w:val="Char6 Char Char Char"/>
    <w:basedOn w:val="1"/>
    <w:qFormat/>
    <w:uiPriority w:val="0"/>
    <w:pPr>
      <w:widowControl w:val="0"/>
      <w:tabs>
        <w:tab w:val="left" w:pos="794"/>
        <w:tab w:val="left" w:pos="1191"/>
        <w:tab w:val="left" w:pos="1588"/>
        <w:tab w:val="left" w:pos="1985"/>
      </w:tabs>
      <w:autoSpaceDE w:val="0"/>
      <w:autoSpaceDN w:val="0"/>
      <w:adjustRightInd w:val="0"/>
      <w:spacing w:before="136"/>
      <w:jc w:val="both"/>
    </w:pPr>
    <w:rPr>
      <w:rFonts w:ascii="Tahoma" w:hAnsi="Tahoma"/>
      <w:sz w:val="24"/>
      <w:lang w:val="en-GB"/>
    </w:rPr>
  </w:style>
  <w:style w:type="paragraph" w:customStyle="1" w:styleId="541">
    <w:name w:val="题1.1"/>
    <w:basedOn w:val="1"/>
    <w:qFormat/>
    <w:uiPriority w:val="0"/>
    <w:pPr>
      <w:widowControl w:val="0"/>
      <w:adjustRightInd w:val="0"/>
      <w:spacing w:after="60"/>
      <w:ind w:left="454" w:firstLine="454"/>
      <w:jc w:val="both"/>
      <w:textAlignment w:val="baseline"/>
    </w:pPr>
    <w:rPr>
      <w:rFonts w:ascii="楷体_GB2312" w:eastAsia="楷体_GB2312"/>
      <w:spacing w:val="15"/>
      <w:sz w:val="21"/>
    </w:rPr>
  </w:style>
  <w:style w:type="paragraph" w:customStyle="1" w:styleId="542">
    <w:name w:val="Char Char Char Char Char Char Char Char Char Char Char Char Char Char Char1"/>
    <w:basedOn w:val="1"/>
    <w:uiPriority w:val="0"/>
    <w:pPr>
      <w:widowControl w:val="0"/>
      <w:spacing w:line="240" w:lineRule="atLeast"/>
      <w:ind w:left="420" w:firstLine="420"/>
      <w:jc w:val="both"/>
    </w:pPr>
    <w:rPr>
      <w:sz w:val="21"/>
      <w:szCs w:val="21"/>
    </w:rPr>
  </w:style>
  <w:style w:type="paragraph" w:customStyle="1" w:styleId="543">
    <w:name w:val="CM217"/>
    <w:basedOn w:val="102"/>
    <w:next w:val="102"/>
    <w:qFormat/>
    <w:uiPriority w:val="0"/>
    <w:pPr>
      <w:adjustRightInd w:val="0"/>
    </w:pPr>
    <w:rPr>
      <w:rFonts w:hAnsi="Calibri"/>
      <w:color w:val="auto"/>
      <w:szCs w:val="24"/>
    </w:rPr>
  </w:style>
  <w:style w:type="paragraph" w:customStyle="1" w:styleId="544">
    <w:name w:val="CM72"/>
    <w:basedOn w:val="102"/>
    <w:next w:val="102"/>
    <w:qFormat/>
    <w:uiPriority w:val="0"/>
    <w:pPr>
      <w:adjustRightInd w:val="0"/>
      <w:spacing w:line="518" w:lineRule="atLeast"/>
    </w:pPr>
    <w:rPr>
      <w:rFonts w:hAnsi="Calibri"/>
      <w:color w:val="auto"/>
      <w:szCs w:val="24"/>
    </w:rPr>
  </w:style>
  <w:style w:type="paragraph" w:customStyle="1" w:styleId="545">
    <w:name w:val="hangju1"/>
    <w:basedOn w:val="1"/>
    <w:qFormat/>
    <w:uiPriority w:val="0"/>
    <w:pPr>
      <w:spacing w:before="100" w:beforeAutospacing="1" w:after="100" w:afterAutospacing="1" w:line="340" w:lineRule="atLeast"/>
    </w:pPr>
    <w:rPr>
      <w:sz w:val="18"/>
      <w:szCs w:val="18"/>
    </w:rPr>
  </w:style>
  <w:style w:type="paragraph" w:customStyle="1" w:styleId="546">
    <w:name w:val="CM188"/>
    <w:basedOn w:val="102"/>
    <w:next w:val="102"/>
    <w:qFormat/>
    <w:uiPriority w:val="0"/>
    <w:pPr>
      <w:adjustRightInd w:val="0"/>
    </w:pPr>
    <w:rPr>
      <w:rFonts w:hAnsi="Calibri"/>
      <w:color w:val="auto"/>
      <w:szCs w:val="24"/>
    </w:rPr>
  </w:style>
  <w:style w:type="paragraph" w:customStyle="1" w:styleId="547">
    <w:name w:val="xl33"/>
    <w:basedOn w:val="1"/>
    <w:qFormat/>
    <w:uiPriority w:val="0"/>
    <w:pPr>
      <w:pBdr>
        <w:left w:val="single" w:color="auto" w:sz="4" w:space="0"/>
      </w:pBdr>
      <w:spacing w:before="100" w:beforeAutospacing="1" w:after="100" w:afterAutospacing="1"/>
      <w:jc w:val="center"/>
      <w:textAlignment w:val="center"/>
    </w:pPr>
    <w:rPr>
      <w:rFonts w:ascii="Arial Unicode MS" w:hAnsi="Arial Unicode MS" w:eastAsia="Arial Unicode MS" w:cs="Arial Unicode MS"/>
      <w:sz w:val="18"/>
      <w:szCs w:val="18"/>
    </w:rPr>
  </w:style>
  <w:style w:type="paragraph" w:customStyle="1" w:styleId="548">
    <w:name w:val="+列表1"/>
    <w:basedOn w:val="1"/>
    <w:qFormat/>
    <w:uiPriority w:val="0"/>
    <w:pPr>
      <w:widowControl w:val="0"/>
      <w:jc w:val="center"/>
    </w:pPr>
    <w:rPr>
      <w:kern w:val="2"/>
      <w:sz w:val="21"/>
      <w:szCs w:val="24"/>
    </w:rPr>
  </w:style>
  <w:style w:type="paragraph" w:customStyle="1" w:styleId="549">
    <w:name w:val="CM219"/>
    <w:basedOn w:val="102"/>
    <w:next w:val="102"/>
    <w:qFormat/>
    <w:uiPriority w:val="0"/>
    <w:pPr>
      <w:adjustRightInd w:val="0"/>
    </w:pPr>
    <w:rPr>
      <w:rFonts w:hAnsi="Calibri"/>
      <w:color w:val="auto"/>
      <w:szCs w:val="24"/>
    </w:rPr>
  </w:style>
  <w:style w:type="paragraph" w:customStyle="1" w:styleId="550">
    <w:name w:val="CM132"/>
    <w:basedOn w:val="102"/>
    <w:next w:val="102"/>
    <w:qFormat/>
    <w:uiPriority w:val="0"/>
    <w:pPr>
      <w:adjustRightInd w:val="0"/>
      <w:spacing w:line="273" w:lineRule="atLeast"/>
    </w:pPr>
    <w:rPr>
      <w:rFonts w:hAnsi="Calibri"/>
      <w:color w:val="auto"/>
      <w:szCs w:val="24"/>
    </w:rPr>
  </w:style>
  <w:style w:type="paragraph" w:customStyle="1" w:styleId="551">
    <w:name w:val="Char Char Char"/>
    <w:basedOn w:val="1"/>
    <w:qFormat/>
    <w:uiPriority w:val="0"/>
    <w:pPr>
      <w:widowControl w:val="0"/>
      <w:spacing w:line="240" w:lineRule="atLeast"/>
      <w:ind w:left="420" w:firstLine="420"/>
      <w:jc w:val="both"/>
    </w:pPr>
    <w:rPr>
      <w:sz w:val="21"/>
      <w:szCs w:val="21"/>
    </w:rPr>
  </w:style>
  <w:style w:type="paragraph" w:customStyle="1" w:styleId="552">
    <w:name w:val="正文文本 21"/>
    <w:basedOn w:val="1"/>
    <w:qFormat/>
    <w:uiPriority w:val="0"/>
    <w:pPr>
      <w:widowControl w:val="0"/>
      <w:adjustRightInd w:val="0"/>
      <w:ind w:firstLine="570"/>
      <w:jc w:val="both"/>
      <w:textAlignment w:val="baseline"/>
    </w:pPr>
    <w:rPr>
      <w:kern w:val="2"/>
      <w:sz w:val="28"/>
    </w:rPr>
  </w:style>
  <w:style w:type="paragraph" w:customStyle="1" w:styleId="553">
    <w:name w:val="CM183"/>
    <w:basedOn w:val="102"/>
    <w:next w:val="102"/>
    <w:qFormat/>
    <w:uiPriority w:val="0"/>
    <w:pPr>
      <w:adjustRightInd w:val="0"/>
    </w:pPr>
    <w:rPr>
      <w:rFonts w:hAnsi="Calibri"/>
      <w:color w:val="auto"/>
      <w:szCs w:val="24"/>
    </w:rPr>
  </w:style>
  <w:style w:type="paragraph" w:customStyle="1" w:styleId="554">
    <w:name w:val="Char Char Char Char1 Char Char Char Char Char1 Char1"/>
    <w:basedOn w:val="1"/>
    <w:qFormat/>
    <w:uiPriority w:val="0"/>
    <w:pPr>
      <w:widowControl w:val="0"/>
      <w:spacing w:line="240" w:lineRule="atLeast"/>
      <w:ind w:left="420" w:firstLine="420"/>
      <w:jc w:val="both"/>
    </w:pPr>
    <w:rPr>
      <w:sz w:val="21"/>
      <w:szCs w:val="21"/>
    </w:rPr>
  </w:style>
  <w:style w:type="paragraph" w:customStyle="1" w:styleId="555">
    <w:name w:val="+标题1"/>
    <w:basedOn w:val="2"/>
    <w:qFormat/>
    <w:uiPriority w:val="0"/>
    <w:pPr>
      <w:pageBreakBefore/>
      <w:widowControl w:val="0"/>
      <w:numPr>
        <w:ilvl w:val="0"/>
        <w:numId w:val="1"/>
      </w:numPr>
      <w:tabs>
        <w:tab w:val="left" w:pos="360"/>
      </w:tabs>
      <w:spacing w:before="240" w:after="240" w:line="360" w:lineRule="auto"/>
      <w:jc w:val="center"/>
    </w:pPr>
    <w:rPr>
      <w:rFonts w:eastAsia="黑体"/>
      <w:kern w:val="32"/>
      <w:sz w:val="32"/>
      <w:szCs w:val="32"/>
    </w:rPr>
  </w:style>
  <w:style w:type="paragraph" w:customStyle="1" w:styleId="556">
    <w:name w:val="CM42"/>
    <w:basedOn w:val="102"/>
    <w:next w:val="102"/>
    <w:qFormat/>
    <w:uiPriority w:val="0"/>
    <w:pPr>
      <w:adjustRightInd w:val="0"/>
      <w:spacing w:line="440" w:lineRule="atLeast"/>
    </w:pPr>
    <w:rPr>
      <w:rFonts w:hAnsi="Calibri"/>
      <w:color w:val="auto"/>
      <w:szCs w:val="24"/>
    </w:rPr>
  </w:style>
  <w:style w:type="paragraph" w:customStyle="1" w:styleId="557">
    <w:name w:val="OmniPage #7"/>
    <w:basedOn w:val="1"/>
    <w:qFormat/>
    <w:uiPriority w:val="0"/>
    <w:pPr>
      <w:spacing w:line="280" w:lineRule="exact"/>
    </w:pPr>
    <w:rPr>
      <w:rFonts w:eastAsia="PMingLiU"/>
      <w:lang w:eastAsia="zh-TW"/>
    </w:rPr>
  </w:style>
  <w:style w:type="paragraph" w:customStyle="1" w:styleId="558">
    <w:name w:val="CM129"/>
    <w:basedOn w:val="102"/>
    <w:next w:val="102"/>
    <w:qFormat/>
    <w:uiPriority w:val="0"/>
    <w:pPr>
      <w:adjustRightInd w:val="0"/>
    </w:pPr>
    <w:rPr>
      <w:rFonts w:hAnsi="Calibri"/>
      <w:color w:val="auto"/>
      <w:szCs w:val="24"/>
    </w:rPr>
  </w:style>
  <w:style w:type="paragraph" w:customStyle="1" w:styleId="559">
    <w:name w:val="CM107"/>
    <w:basedOn w:val="102"/>
    <w:next w:val="102"/>
    <w:qFormat/>
    <w:uiPriority w:val="0"/>
    <w:pPr>
      <w:adjustRightInd w:val="0"/>
    </w:pPr>
    <w:rPr>
      <w:rFonts w:hAnsi="Calibri"/>
      <w:color w:val="auto"/>
      <w:szCs w:val="24"/>
    </w:rPr>
  </w:style>
  <w:style w:type="paragraph" w:customStyle="1" w:styleId="560">
    <w:name w:val="Char6"/>
    <w:basedOn w:val="1"/>
    <w:qFormat/>
    <w:uiPriority w:val="0"/>
    <w:pPr>
      <w:widowControl w:val="0"/>
      <w:tabs>
        <w:tab w:val="left" w:pos="794"/>
        <w:tab w:val="left" w:pos="1191"/>
        <w:tab w:val="left" w:pos="1588"/>
        <w:tab w:val="left" w:pos="1985"/>
      </w:tabs>
      <w:autoSpaceDE w:val="0"/>
      <w:autoSpaceDN w:val="0"/>
      <w:adjustRightInd w:val="0"/>
      <w:spacing w:before="136"/>
      <w:jc w:val="both"/>
    </w:pPr>
    <w:rPr>
      <w:rFonts w:ascii="Tahoma" w:hAnsi="Tahoma"/>
      <w:sz w:val="24"/>
      <w:lang w:val="en-GB"/>
    </w:rPr>
  </w:style>
  <w:style w:type="paragraph" w:customStyle="1" w:styleId="561">
    <w:name w:val="CM143"/>
    <w:basedOn w:val="102"/>
    <w:next w:val="102"/>
    <w:qFormat/>
    <w:uiPriority w:val="0"/>
    <w:pPr>
      <w:adjustRightInd w:val="0"/>
    </w:pPr>
    <w:rPr>
      <w:rFonts w:hAnsi="Calibri"/>
      <w:color w:val="auto"/>
      <w:szCs w:val="24"/>
    </w:rPr>
  </w:style>
  <w:style w:type="paragraph" w:customStyle="1" w:styleId="562">
    <w:name w:val="正文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63">
    <w:name w:val="CM130"/>
    <w:basedOn w:val="102"/>
    <w:next w:val="102"/>
    <w:qFormat/>
    <w:uiPriority w:val="0"/>
    <w:pPr>
      <w:adjustRightInd w:val="0"/>
      <w:spacing w:line="273" w:lineRule="atLeast"/>
    </w:pPr>
    <w:rPr>
      <w:rFonts w:hAnsi="Calibri"/>
      <w:color w:val="auto"/>
      <w:szCs w:val="24"/>
    </w:rPr>
  </w:style>
  <w:style w:type="paragraph" w:customStyle="1" w:styleId="564">
    <w:name w:val="+标题2"/>
    <w:basedOn w:val="3"/>
    <w:qFormat/>
    <w:uiPriority w:val="0"/>
    <w:pPr>
      <w:widowControl w:val="0"/>
      <w:numPr>
        <w:ilvl w:val="1"/>
        <w:numId w:val="1"/>
      </w:numPr>
      <w:tabs>
        <w:tab w:val="left" w:pos="840"/>
      </w:tabs>
      <w:spacing w:before="120" w:after="120" w:line="360" w:lineRule="auto"/>
      <w:jc w:val="both"/>
    </w:pPr>
    <w:rPr>
      <w:rFonts w:ascii="Times New Roman" w:hAnsi="Times New Roman" w:eastAsia="楷体_GB2312"/>
      <w:kern w:val="2"/>
      <w:szCs w:val="28"/>
    </w:rPr>
  </w:style>
  <w:style w:type="paragraph" w:customStyle="1" w:styleId="565">
    <w:name w:val="TOC Heading1"/>
    <w:basedOn w:val="2"/>
    <w:next w:val="1"/>
    <w:qFormat/>
    <w:uiPriority w:val="0"/>
    <w:pPr>
      <w:widowControl w:val="0"/>
      <w:tabs>
        <w:tab w:val="left" w:pos="432"/>
      </w:tabs>
      <w:spacing w:line="576" w:lineRule="auto"/>
      <w:jc w:val="both"/>
      <w:outlineLvl w:val="9"/>
    </w:pPr>
    <w:rPr>
      <w:rFonts w:ascii="Calibri" w:hAnsi="Calibri" w:cs="Calibri"/>
    </w:rPr>
  </w:style>
  <w:style w:type="paragraph" w:customStyle="1" w:styleId="566">
    <w:name w:val="CM2"/>
    <w:basedOn w:val="102"/>
    <w:next w:val="102"/>
    <w:qFormat/>
    <w:uiPriority w:val="0"/>
    <w:pPr>
      <w:adjustRightInd w:val="0"/>
    </w:pPr>
    <w:rPr>
      <w:rFonts w:hAnsi="Calibri"/>
      <w:color w:val="auto"/>
      <w:szCs w:val="24"/>
    </w:rPr>
  </w:style>
  <w:style w:type="paragraph" w:customStyle="1" w:styleId="567">
    <w:name w:val="CM1"/>
    <w:basedOn w:val="102"/>
    <w:next w:val="102"/>
    <w:qFormat/>
    <w:uiPriority w:val="0"/>
    <w:pPr>
      <w:adjustRightInd w:val="0"/>
    </w:pPr>
    <w:rPr>
      <w:rFonts w:hAnsi="Calibri"/>
      <w:color w:val="auto"/>
      <w:szCs w:val="24"/>
    </w:rPr>
  </w:style>
  <w:style w:type="paragraph" w:customStyle="1" w:styleId="568">
    <w:name w:val="书籍标题2"/>
    <w:basedOn w:val="1"/>
    <w:qFormat/>
    <w:uiPriority w:val="0"/>
    <w:pPr>
      <w:widowControl w:val="0"/>
      <w:autoSpaceDE w:val="0"/>
      <w:autoSpaceDN w:val="0"/>
      <w:adjustRightInd w:val="0"/>
      <w:ind w:left="200" w:leftChars="200"/>
    </w:pPr>
    <w:rPr>
      <w:rFonts w:ascii="楷体_GB2312" w:eastAsia="楷体_GB2312"/>
      <w:sz w:val="21"/>
      <w:lang w:val="zh-CN"/>
    </w:rPr>
  </w:style>
  <w:style w:type="paragraph" w:customStyle="1" w:styleId="569">
    <w:name w:val="样式3"/>
    <w:basedOn w:val="4"/>
    <w:qFormat/>
    <w:uiPriority w:val="0"/>
    <w:rPr>
      <w:rFonts w:eastAsia="黑体"/>
      <w:sz w:val="28"/>
    </w:rPr>
  </w:style>
  <w:style w:type="paragraph" w:customStyle="1" w:styleId="570">
    <w:name w:val="P10"/>
    <w:basedOn w:val="571"/>
    <w:qFormat/>
    <w:uiPriority w:val="0"/>
    <w:pPr>
      <w:ind w:left="3240"/>
    </w:pPr>
    <w:rPr>
      <w:spacing w:val="20"/>
    </w:rPr>
  </w:style>
  <w:style w:type="paragraph" w:customStyle="1" w:styleId="571">
    <w:name w:val="P5"/>
    <w:qFormat/>
    <w:uiPriority w:val="0"/>
    <w:pPr>
      <w:widowControl w:val="0"/>
      <w:adjustRightInd w:val="0"/>
      <w:spacing w:after="240" w:line="240" w:lineRule="atLeast"/>
      <w:ind w:left="2304"/>
      <w:jc w:val="both"/>
      <w:textAlignment w:val="baseline"/>
    </w:pPr>
    <w:rPr>
      <w:rFonts w:ascii="Times New Roman" w:hAnsi="Times New Roman" w:eastAsia="全真中明體" w:cs="Times New Roman"/>
      <w:spacing w:val="30"/>
      <w:sz w:val="24"/>
      <w:lang w:val="en-GB" w:eastAsia="zh-TW" w:bidi="ar-SA"/>
    </w:rPr>
  </w:style>
  <w:style w:type="paragraph" w:customStyle="1" w:styleId="572">
    <w:name w:val="样式 段落编号 + (中文) 黑体 两端对齐 Char Char Char"/>
    <w:basedOn w:val="1"/>
    <w:qFormat/>
    <w:uiPriority w:val="0"/>
    <w:pPr>
      <w:widowControl w:val="0"/>
      <w:adjustRightInd w:val="0"/>
      <w:snapToGrid w:val="0"/>
      <w:spacing w:before="60" w:after="240" w:line="400" w:lineRule="exact"/>
      <w:ind w:left="482"/>
      <w:textAlignment w:val="baseline"/>
    </w:pPr>
    <w:rPr>
      <w:rFonts w:ascii="宋体" w:hAnsi="宋体" w:eastAsia="黑体" w:cs="宋体"/>
      <w:kern w:val="2"/>
      <w:sz w:val="24"/>
      <w:szCs w:val="24"/>
    </w:rPr>
  </w:style>
  <w:style w:type="paragraph" w:customStyle="1" w:styleId="573">
    <w:name w:val="明显引用11"/>
    <w:basedOn w:val="1"/>
    <w:next w:val="1"/>
    <w:qFormat/>
    <w:uiPriority w:val="0"/>
    <w:pPr>
      <w:widowControl w:val="0"/>
      <w:pBdr>
        <w:bottom w:val="single" w:color="4F81BD" w:sz="4" w:space="4"/>
      </w:pBdr>
      <w:spacing w:before="200" w:after="280"/>
      <w:ind w:left="936" w:right="936"/>
      <w:jc w:val="both"/>
    </w:pPr>
    <w:rPr>
      <w:rFonts w:ascii="Calibri" w:hAnsi="Calibri"/>
      <w:b/>
      <w:i/>
      <w:color w:val="4F81BD"/>
      <w:sz w:val="22"/>
    </w:rPr>
  </w:style>
  <w:style w:type="paragraph" w:customStyle="1" w:styleId="574">
    <w:name w:val="CM180"/>
    <w:basedOn w:val="102"/>
    <w:next w:val="102"/>
    <w:qFormat/>
    <w:uiPriority w:val="0"/>
    <w:pPr>
      <w:adjustRightInd w:val="0"/>
    </w:pPr>
    <w:rPr>
      <w:rFonts w:hAnsi="Calibri"/>
      <w:color w:val="auto"/>
      <w:szCs w:val="24"/>
    </w:rPr>
  </w:style>
  <w:style w:type="paragraph" w:customStyle="1" w:styleId="575">
    <w:name w:val="Listing1"/>
    <w:basedOn w:val="1"/>
    <w:qFormat/>
    <w:uiPriority w:val="0"/>
    <w:pPr>
      <w:widowControl w:val="0"/>
      <w:tabs>
        <w:tab w:val="left" w:pos="420"/>
      </w:tabs>
      <w:ind w:left="420" w:hanging="420"/>
      <w:jc w:val="both"/>
    </w:pPr>
    <w:rPr>
      <w:kern w:val="2"/>
      <w:sz w:val="24"/>
      <w:szCs w:val="24"/>
    </w:rPr>
  </w:style>
  <w:style w:type="paragraph" w:customStyle="1" w:styleId="576">
    <w:name w:val="xl48"/>
    <w:basedOn w:val="1"/>
    <w:qFormat/>
    <w:uiPriority w:val="0"/>
    <w:pPr>
      <w:pBdr>
        <w:bottom w:val="single" w:color="auto" w:sz="4" w:space="0"/>
      </w:pBdr>
      <w:spacing w:before="100" w:beforeAutospacing="1" w:after="100" w:afterAutospacing="1"/>
    </w:pPr>
    <w:rPr>
      <w:rFonts w:ascii="Arial Unicode MS" w:hAnsi="Arial Unicode MS" w:eastAsia="Arial Unicode MS" w:cs="Arial Unicode MS"/>
      <w:b/>
      <w:bCs/>
      <w:sz w:val="22"/>
      <w:szCs w:val="22"/>
    </w:rPr>
  </w:style>
  <w:style w:type="paragraph" w:customStyle="1" w:styleId="577">
    <w:name w:val="P2"/>
    <w:qFormat/>
    <w:uiPriority w:val="0"/>
    <w:pPr>
      <w:widowControl w:val="0"/>
      <w:adjustRightInd w:val="0"/>
      <w:spacing w:after="240" w:line="240" w:lineRule="atLeast"/>
      <w:ind w:left="1728"/>
      <w:jc w:val="both"/>
      <w:textAlignment w:val="baseline"/>
    </w:pPr>
    <w:rPr>
      <w:rFonts w:ascii="Times New Roman" w:hAnsi="Times New Roman" w:eastAsia="全真中明體" w:cs="Times New Roman"/>
      <w:spacing w:val="20"/>
      <w:sz w:val="24"/>
      <w:lang w:val="en-GB" w:eastAsia="zh-TW" w:bidi="ar-SA"/>
    </w:rPr>
  </w:style>
  <w:style w:type="paragraph" w:customStyle="1" w:styleId="578">
    <w:name w:val="CM7"/>
    <w:basedOn w:val="102"/>
    <w:next w:val="102"/>
    <w:qFormat/>
    <w:uiPriority w:val="0"/>
    <w:pPr>
      <w:adjustRightInd w:val="0"/>
    </w:pPr>
    <w:rPr>
      <w:rFonts w:hAnsi="Calibri"/>
      <w:color w:val="auto"/>
      <w:szCs w:val="24"/>
    </w:rPr>
  </w:style>
  <w:style w:type="paragraph" w:customStyle="1" w:styleId="579">
    <w:name w:val="CM50"/>
    <w:basedOn w:val="102"/>
    <w:next w:val="102"/>
    <w:qFormat/>
    <w:uiPriority w:val="0"/>
    <w:pPr>
      <w:adjustRightInd w:val="0"/>
      <w:spacing w:line="398" w:lineRule="atLeast"/>
    </w:pPr>
    <w:rPr>
      <w:rFonts w:hAnsi="Calibri"/>
      <w:color w:val="auto"/>
      <w:szCs w:val="24"/>
    </w:rPr>
  </w:style>
  <w:style w:type="paragraph" w:customStyle="1" w:styleId="580">
    <w:name w:val="_Style 417"/>
    <w:next w:val="1"/>
    <w:qFormat/>
    <w:uiPriority w:val="0"/>
    <w:rPr>
      <w:rFonts w:ascii="Times New Roman" w:hAnsi="Times New Roman" w:eastAsia="宋体" w:cs="Times New Roman"/>
      <w:lang w:val="en-US" w:eastAsia="zh-CN" w:bidi="ar-SA"/>
    </w:rPr>
  </w:style>
  <w:style w:type="paragraph" w:customStyle="1" w:styleId="581">
    <w:name w:val="菲页1"/>
    <w:basedOn w:val="3"/>
    <w:qFormat/>
    <w:uiPriority w:val="0"/>
    <w:pPr>
      <w:spacing w:line="413" w:lineRule="auto"/>
      <w:jc w:val="center"/>
    </w:pPr>
    <w:rPr>
      <w:rFonts w:ascii="黑体" w:hAnsi="宋体"/>
      <w:b w:val="0"/>
      <w:bCs w:val="0"/>
      <w:sz w:val="52"/>
      <w:szCs w:val="20"/>
    </w:rPr>
  </w:style>
  <w:style w:type="paragraph" w:customStyle="1" w:styleId="582">
    <w:name w:val="CM61"/>
    <w:basedOn w:val="102"/>
    <w:next w:val="102"/>
    <w:qFormat/>
    <w:uiPriority w:val="0"/>
    <w:pPr>
      <w:adjustRightInd w:val="0"/>
      <w:spacing w:line="400" w:lineRule="atLeast"/>
    </w:pPr>
    <w:rPr>
      <w:rFonts w:hAnsi="Calibri"/>
      <w:color w:val="auto"/>
      <w:szCs w:val="24"/>
    </w:rPr>
  </w:style>
  <w:style w:type="paragraph" w:customStyle="1" w:styleId="583">
    <w:name w:val="样式 样式 样式 标题 3 + 首行缩进:  2 字符 + 首行缩进:  2 字符 + 首行缩进:  2 字符 Char"/>
    <w:basedOn w:val="1"/>
    <w:qFormat/>
    <w:uiPriority w:val="0"/>
    <w:pPr>
      <w:keepNext/>
      <w:keepLines/>
      <w:widowControl w:val="0"/>
      <w:tabs>
        <w:tab w:val="left" w:pos="720"/>
        <w:tab w:val="left" w:pos="900"/>
        <w:tab w:val="left" w:pos="1350"/>
      </w:tabs>
      <w:adjustRightInd w:val="0"/>
      <w:snapToGrid w:val="0"/>
      <w:spacing w:before="120" w:after="120" w:line="500" w:lineRule="exact"/>
      <w:ind w:left="1189" w:hanging="1189"/>
      <w:textAlignment w:val="baseline"/>
      <w:outlineLvl w:val="2"/>
    </w:pPr>
    <w:rPr>
      <w:rFonts w:ascii="黑体" w:hAnsi="宋体" w:eastAsia="黑体" w:cs="宋体"/>
      <w:sz w:val="24"/>
      <w:szCs w:val="24"/>
    </w:rPr>
  </w:style>
  <w:style w:type="paragraph" w:customStyle="1" w:styleId="584">
    <w:name w:val="CM101"/>
    <w:basedOn w:val="102"/>
    <w:next w:val="102"/>
    <w:qFormat/>
    <w:uiPriority w:val="0"/>
    <w:pPr>
      <w:adjustRightInd w:val="0"/>
      <w:spacing w:line="340" w:lineRule="atLeast"/>
    </w:pPr>
    <w:rPr>
      <w:rFonts w:hAnsi="Calibri"/>
      <w:color w:val="auto"/>
      <w:szCs w:val="24"/>
    </w:rPr>
  </w:style>
  <w:style w:type="paragraph" w:customStyle="1" w:styleId="585">
    <w:name w:val="CM134"/>
    <w:basedOn w:val="102"/>
    <w:next w:val="102"/>
    <w:qFormat/>
    <w:uiPriority w:val="0"/>
    <w:pPr>
      <w:adjustRightInd w:val="0"/>
      <w:spacing w:line="273" w:lineRule="atLeast"/>
    </w:pPr>
    <w:rPr>
      <w:rFonts w:hAnsi="Calibri"/>
      <w:color w:val="auto"/>
      <w:szCs w:val="24"/>
    </w:rPr>
  </w:style>
  <w:style w:type="paragraph" w:customStyle="1" w:styleId="586">
    <w:name w:val="+标题4"/>
    <w:basedOn w:val="5"/>
    <w:qFormat/>
    <w:uiPriority w:val="0"/>
    <w:pPr>
      <w:widowControl w:val="0"/>
      <w:numPr>
        <w:ilvl w:val="3"/>
        <w:numId w:val="1"/>
      </w:numPr>
      <w:tabs>
        <w:tab w:val="left" w:pos="1680"/>
      </w:tabs>
      <w:spacing w:before="0" w:after="0" w:line="440" w:lineRule="exact"/>
      <w:jc w:val="both"/>
    </w:pPr>
    <w:rPr>
      <w:rFonts w:ascii="Times New Roman" w:hAnsi="Times New Roman" w:eastAsia="宋体"/>
      <w:kern w:val="2"/>
      <w:sz w:val="24"/>
    </w:rPr>
  </w:style>
  <w:style w:type="paragraph" w:customStyle="1" w:styleId="587">
    <w:name w:val="CM185"/>
    <w:basedOn w:val="102"/>
    <w:next w:val="102"/>
    <w:qFormat/>
    <w:uiPriority w:val="0"/>
    <w:pPr>
      <w:adjustRightInd w:val="0"/>
    </w:pPr>
    <w:rPr>
      <w:rFonts w:hAnsi="Calibri"/>
      <w:color w:val="auto"/>
      <w:szCs w:val="24"/>
    </w:rPr>
  </w:style>
  <w:style w:type="paragraph" w:customStyle="1" w:styleId="588">
    <w:name w:val="CM6"/>
    <w:basedOn w:val="102"/>
    <w:next w:val="102"/>
    <w:qFormat/>
    <w:uiPriority w:val="0"/>
    <w:pPr>
      <w:adjustRightInd w:val="0"/>
      <w:spacing w:line="500" w:lineRule="atLeast"/>
    </w:pPr>
    <w:rPr>
      <w:rFonts w:hAnsi="Calibri"/>
      <w:color w:val="auto"/>
      <w:szCs w:val="24"/>
    </w:rPr>
  </w:style>
  <w:style w:type="paragraph" w:customStyle="1" w:styleId="589">
    <w:name w:val="CM209"/>
    <w:basedOn w:val="102"/>
    <w:next w:val="102"/>
    <w:qFormat/>
    <w:uiPriority w:val="0"/>
    <w:pPr>
      <w:adjustRightInd w:val="0"/>
    </w:pPr>
    <w:rPr>
      <w:rFonts w:hAnsi="Calibri"/>
      <w:color w:val="auto"/>
      <w:szCs w:val="24"/>
    </w:rPr>
  </w:style>
  <w:style w:type="paragraph" w:customStyle="1" w:styleId="590">
    <w:name w:val="CM178"/>
    <w:basedOn w:val="102"/>
    <w:next w:val="102"/>
    <w:qFormat/>
    <w:uiPriority w:val="0"/>
    <w:pPr>
      <w:adjustRightInd w:val="0"/>
    </w:pPr>
    <w:rPr>
      <w:rFonts w:hAnsi="Calibri"/>
      <w:color w:val="auto"/>
      <w:szCs w:val="24"/>
    </w:rPr>
  </w:style>
  <w:style w:type="paragraph" w:customStyle="1" w:styleId="591">
    <w:name w:val="CM49"/>
    <w:basedOn w:val="102"/>
    <w:next w:val="102"/>
    <w:qFormat/>
    <w:uiPriority w:val="0"/>
    <w:pPr>
      <w:adjustRightInd w:val="0"/>
      <w:spacing w:line="398" w:lineRule="atLeast"/>
    </w:pPr>
    <w:rPr>
      <w:rFonts w:hAnsi="Calibri"/>
      <w:color w:val="auto"/>
      <w:szCs w:val="24"/>
    </w:rPr>
  </w:style>
  <w:style w:type="paragraph" w:customStyle="1" w:styleId="592">
    <w:name w:val="CM121"/>
    <w:basedOn w:val="102"/>
    <w:next w:val="102"/>
    <w:qFormat/>
    <w:uiPriority w:val="0"/>
    <w:pPr>
      <w:adjustRightInd w:val="0"/>
    </w:pPr>
    <w:rPr>
      <w:rFonts w:hAnsi="Calibri"/>
      <w:color w:val="auto"/>
      <w:szCs w:val="24"/>
    </w:rPr>
  </w:style>
  <w:style w:type="paragraph" w:customStyle="1" w:styleId="593">
    <w:name w:val="xl47"/>
    <w:basedOn w:val="1"/>
    <w:qFormat/>
    <w:uiPriority w:val="0"/>
    <w:pPr>
      <w:pBdr>
        <w:bottom w:val="single" w:color="auto" w:sz="4" w:space="0"/>
      </w:pBdr>
      <w:spacing w:before="100" w:beforeAutospacing="1" w:after="100" w:afterAutospacing="1"/>
    </w:pPr>
    <w:rPr>
      <w:rFonts w:eastAsia="Arial Unicode MS"/>
      <w:b/>
      <w:bCs/>
      <w:sz w:val="22"/>
      <w:szCs w:val="22"/>
    </w:rPr>
  </w:style>
  <w:style w:type="paragraph" w:customStyle="1" w:styleId="594">
    <w:name w:val="样式 宋体 小四 首行缩进:  0.93 厘米 段前: 11.15 磅 段后: 11.15 磅1"/>
    <w:basedOn w:val="1"/>
    <w:qFormat/>
    <w:uiPriority w:val="0"/>
    <w:pPr>
      <w:widowControl w:val="0"/>
      <w:adjustRightInd w:val="0"/>
      <w:snapToGrid w:val="0"/>
      <w:ind w:left="200" w:leftChars="200"/>
      <w:jc w:val="both"/>
    </w:pPr>
    <w:rPr>
      <w:rFonts w:ascii="宋体" w:cs="宋体"/>
      <w:kern w:val="2"/>
      <w:sz w:val="24"/>
    </w:rPr>
  </w:style>
  <w:style w:type="paragraph" w:customStyle="1" w:styleId="595">
    <w:name w:val="p0"/>
    <w:basedOn w:val="1"/>
    <w:qFormat/>
    <w:uiPriority w:val="0"/>
    <w:rPr>
      <w:szCs w:val="21"/>
    </w:rPr>
  </w:style>
  <w:style w:type="paragraph" w:customStyle="1" w:styleId="596">
    <w:name w:val="样式8"/>
    <w:basedOn w:val="4"/>
    <w:qFormat/>
    <w:uiPriority w:val="0"/>
    <w:pPr>
      <w:tabs>
        <w:tab w:val="left" w:pos="3660"/>
      </w:tabs>
      <w:spacing w:before="160" w:after="240" w:line="500" w:lineRule="exact"/>
      <w:ind w:left="3660" w:hanging="720"/>
    </w:pPr>
    <w:rPr>
      <w:rFonts w:eastAsia="黑体"/>
      <w:b w:val="0"/>
      <w:bCs w:val="0"/>
      <w:sz w:val="24"/>
      <w:szCs w:val="24"/>
    </w:rPr>
  </w:style>
  <w:style w:type="paragraph" w:customStyle="1" w:styleId="597">
    <w:name w:val="Char1 Char Char Char Char Char Char1"/>
    <w:basedOn w:val="17"/>
    <w:qFormat/>
    <w:uiPriority w:val="0"/>
    <w:pPr>
      <w:widowControl w:val="0"/>
      <w:shd w:val="clear" w:color="auto" w:fill="000080"/>
      <w:spacing w:line="360" w:lineRule="auto"/>
      <w:jc w:val="both"/>
    </w:pPr>
    <w:rPr>
      <w:rFonts w:ascii="Tahoma" w:hAnsi="Tahoma"/>
      <w:kern w:val="2"/>
      <w:sz w:val="24"/>
      <w:szCs w:val="24"/>
    </w:rPr>
  </w:style>
  <w:style w:type="paragraph" w:customStyle="1" w:styleId="598">
    <w:name w:val="Table Text"/>
    <w:qFormat/>
    <w:uiPriority w:val="0"/>
    <w:pPr>
      <w:snapToGrid w:val="0"/>
      <w:spacing w:before="80" w:after="80"/>
    </w:pPr>
    <w:rPr>
      <w:rFonts w:ascii="Arial" w:hAnsi="Arial" w:eastAsia="宋体" w:cs="Arial"/>
      <w:sz w:val="18"/>
      <w:szCs w:val="18"/>
      <w:lang w:val="en-US" w:eastAsia="zh-CN" w:bidi="ar-SA"/>
    </w:rPr>
  </w:style>
  <w:style w:type="paragraph" w:customStyle="1" w:styleId="599">
    <w:name w:val="CM92"/>
    <w:basedOn w:val="102"/>
    <w:next w:val="102"/>
    <w:qFormat/>
    <w:uiPriority w:val="0"/>
    <w:pPr>
      <w:adjustRightInd w:val="0"/>
      <w:spacing w:line="398" w:lineRule="atLeast"/>
    </w:pPr>
    <w:rPr>
      <w:rFonts w:hAnsi="Calibri"/>
      <w:color w:val="auto"/>
      <w:szCs w:val="24"/>
    </w:rPr>
  </w:style>
  <w:style w:type="paragraph" w:customStyle="1" w:styleId="600">
    <w:name w:val="目录文字"/>
    <w:basedOn w:val="1"/>
    <w:qFormat/>
    <w:uiPriority w:val="0"/>
    <w:pPr>
      <w:spacing w:line="480" w:lineRule="auto"/>
    </w:pPr>
    <w:rPr>
      <w:rFonts w:ascii="宋体" w:hAnsi="宋体"/>
      <w:sz w:val="24"/>
    </w:rPr>
  </w:style>
  <w:style w:type="paragraph" w:customStyle="1" w:styleId="601">
    <w:name w:val="CM10"/>
    <w:basedOn w:val="102"/>
    <w:next w:val="102"/>
    <w:qFormat/>
    <w:uiPriority w:val="0"/>
    <w:pPr>
      <w:adjustRightInd w:val="0"/>
      <w:spacing w:line="308" w:lineRule="atLeast"/>
    </w:pPr>
    <w:rPr>
      <w:rFonts w:hAnsi="Calibri"/>
      <w:color w:val="auto"/>
      <w:szCs w:val="24"/>
    </w:rPr>
  </w:style>
  <w:style w:type="paragraph" w:customStyle="1" w:styleId="602">
    <w:name w:val="样式5"/>
    <w:basedOn w:val="603"/>
    <w:qFormat/>
    <w:uiPriority w:val="0"/>
    <w:pPr>
      <w:keepNext w:val="0"/>
      <w:keepLines w:val="0"/>
      <w:spacing w:before="249" w:beforeLines="80" w:after="187" w:afterLines="60" w:line="500" w:lineRule="exact"/>
      <w:jc w:val="center"/>
      <w:outlineLvl w:val="9"/>
    </w:pPr>
    <w:rPr>
      <w:rFonts w:ascii="黑体" w:eastAsia="黑体"/>
      <w:b w:val="0"/>
      <w:bCs w:val="0"/>
    </w:rPr>
  </w:style>
  <w:style w:type="paragraph" w:customStyle="1" w:styleId="603">
    <w:name w:val="样式4"/>
    <w:basedOn w:val="4"/>
    <w:qFormat/>
    <w:uiPriority w:val="0"/>
    <w:pPr>
      <w:widowControl w:val="0"/>
      <w:spacing w:line="415" w:lineRule="auto"/>
      <w:jc w:val="both"/>
    </w:pPr>
    <w:rPr>
      <w:rFonts w:eastAsia="Arial"/>
      <w:kern w:val="2"/>
    </w:rPr>
  </w:style>
  <w:style w:type="paragraph" w:customStyle="1" w:styleId="604">
    <w:name w:val="Cap_标题_3"/>
    <w:next w:val="1"/>
    <w:qFormat/>
    <w:uiPriority w:val="0"/>
    <w:pPr>
      <w:keepNext/>
      <w:tabs>
        <w:tab w:val="left" w:pos="360"/>
        <w:tab w:val="left" w:pos="709"/>
      </w:tabs>
      <w:spacing w:before="180" w:after="120"/>
      <w:ind w:left="360" w:hanging="360"/>
      <w:outlineLvl w:val="2"/>
    </w:pPr>
    <w:rPr>
      <w:rFonts w:ascii="Arial" w:hAnsi="Arial" w:eastAsia="宋体" w:cs="Arial"/>
      <w:bCs/>
      <w:sz w:val="24"/>
      <w:szCs w:val="24"/>
      <w:lang w:val="en-US" w:eastAsia="en-CA" w:bidi="ar-SA"/>
    </w:rPr>
  </w:style>
  <w:style w:type="paragraph" w:customStyle="1" w:styleId="605">
    <w:name w:val="样式9"/>
    <w:basedOn w:val="4"/>
    <w:qFormat/>
    <w:uiPriority w:val="0"/>
    <w:pPr>
      <w:tabs>
        <w:tab w:val="left" w:pos="3660"/>
      </w:tabs>
      <w:spacing w:before="160" w:after="120" w:line="500" w:lineRule="exact"/>
      <w:ind w:left="3660" w:hanging="720"/>
    </w:pPr>
    <w:rPr>
      <w:rFonts w:eastAsia="黑体"/>
      <w:b w:val="0"/>
      <w:bCs w:val="0"/>
      <w:sz w:val="24"/>
      <w:szCs w:val="24"/>
    </w:rPr>
  </w:style>
  <w:style w:type="paragraph" w:customStyle="1" w:styleId="606">
    <w:name w:val="规范文本"/>
    <w:basedOn w:val="28"/>
    <w:qFormat/>
    <w:uiPriority w:val="0"/>
    <w:pPr>
      <w:adjustRightInd w:val="0"/>
      <w:snapToGrid w:val="0"/>
      <w:spacing w:line="360" w:lineRule="exact"/>
      <w:ind w:firstLine="420"/>
    </w:pPr>
    <w:rPr>
      <w:snapToGrid w:val="0"/>
      <w:kern w:val="0"/>
      <w:szCs w:val="20"/>
    </w:rPr>
  </w:style>
  <w:style w:type="paragraph" w:customStyle="1" w:styleId="607">
    <w:name w:val="样式 正文文本缩进 + 首行缩进:  2 字符"/>
    <w:basedOn w:val="22"/>
    <w:qFormat/>
    <w:uiPriority w:val="0"/>
    <w:pPr>
      <w:widowControl w:val="0"/>
      <w:tabs>
        <w:tab w:val="left" w:pos="9016"/>
      </w:tabs>
      <w:spacing w:after="0" w:line="500" w:lineRule="exact"/>
      <w:ind w:left="0" w:leftChars="0" w:firstLine="480" w:firstLineChars="200"/>
    </w:pPr>
    <w:rPr>
      <w:rFonts w:cs="宋体"/>
      <w:sz w:val="24"/>
      <w:szCs w:val="24"/>
    </w:rPr>
  </w:style>
  <w:style w:type="paragraph" w:customStyle="1" w:styleId="608">
    <w:name w:val="Char Char Char Char Char Char Char Char Char Char11"/>
    <w:basedOn w:val="1"/>
    <w:qFormat/>
    <w:uiPriority w:val="0"/>
    <w:pPr>
      <w:widowControl w:val="0"/>
      <w:tabs>
        <w:tab w:val="left" w:pos="425"/>
      </w:tabs>
      <w:ind w:left="425" w:hanging="425"/>
      <w:jc w:val="both"/>
    </w:pPr>
    <w:rPr>
      <w:rFonts w:ascii="Arial" w:hAnsi="Arial" w:eastAsia="黑体" w:cs="Arial"/>
      <w:b/>
      <w:bCs/>
      <w:kern w:val="2"/>
      <w:sz w:val="32"/>
      <w:szCs w:val="32"/>
    </w:rPr>
  </w:style>
  <w:style w:type="paragraph" w:customStyle="1" w:styleId="609">
    <w:name w:val="_Style 636"/>
    <w:qFormat/>
    <w:uiPriority w:val="0"/>
    <w:rPr>
      <w:rFonts w:ascii="Times New Roman" w:hAnsi="Times New Roman" w:eastAsia="宋体" w:cs="Times New Roman"/>
      <w:lang w:val="en-US" w:eastAsia="zh-CN" w:bidi="ar-SA"/>
    </w:rPr>
  </w:style>
  <w:style w:type="paragraph" w:customStyle="1" w:styleId="610">
    <w:name w:val="7"/>
    <w:basedOn w:val="1"/>
    <w:qFormat/>
    <w:uiPriority w:val="0"/>
    <w:pPr>
      <w:tabs>
        <w:tab w:val="left" w:pos="425"/>
      </w:tabs>
      <w:spacing w:before="312" w:beforeLines="100" w:after="160" w:line="240" w:lineRule="exact"/>
      <w:ind w:left="425" w:hanging="425"/>
    </w:pPr>
    <w:rPr>
      <w:rFonts w:ascii="Verdana" w:hAnsi="Verdana" w:eastAsia="黑体"/>
      <w:lang w:eastAsia="en-US"/>
    </w:rPr>
  </w:style>
  <w:style w:type="paragraph" w:customStyle="1" w:styleId="611">
    <w:name w:val="样式 标题 + 两端对齐"/>
    <w:basedOn w:val="2"/>
    <w:qFormat/>
    <w:uiPriority w:val="0"/>
    <w:pPr>
      <w:widowControl w:val="0"/>
      <w:spacing w:before="100" w:after="90"/>
      <w:jc w:val="center"/>
    </w:pPr>
    <w:rPr>
      <w:rFonts w:cs="宋体"/>
      <w:sz w:val="36"/>
      <w:szCs w:val="20"/>
    </w:rPr>
  </w:style>
  <w:style w:type="paragraph" w:customStyle="1" w:styleId="612">
    <w:name w:val="CM62"/>
    <w:basedOn w:val="102"/>
    <w:next w:val="102"/>
    <w:qFormat/>
    <w:uiPriority w:val="0"/>
    <w:pPr>
      <w:adjustRightInd w:val="0"/>
      <w:spacing w:line="400" w:lineRule="atLeast"/>
    </w:pPr>
    <w:rPr>
      <w:rFonts w:hAnsi="Calibri"/>
      <w:color w:val="auto"/>
      <w:szCs w:val="24"/>
    </w:rPr>
  </w:style>
  <w:style w:type="paragraph" w:customStyle="1" w:styleId="613">
    <w:name w:val="批注框文本 Char Char"/>
    <w:basedOn w:val="1"/>
    <w:qFormat/>
    <w:uiPriority w:val="0"/>
    <w:rPr>
      <w:sz w:val="18"/>
    </w:rPr>
  </w:style>
  <w:style w:type="paragraph" w:customStyle="1" w:styleId="614">
    <w:name w:val="xl41"/>
    <w:basedOn w:val="1"/>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Arial Unicode MS"/>
      <w:sz w:val="18"/>
      <w:szCs w:val="18"/>
    </w:rPr>
  </w:style>
  <w:style w:type="paragraph" w:customStyle="1" w:styleId="615">
    <w:name w:val="CM60"/>
    <w:basedOn w:val="102"/>
    <w:next w:val="102"/>
    <w:qFormat/>
    <w:uiPriority w:val="0"/>
    <w:pPr>
      <w:adjustRightInd w:val="0"/>
      <w:spacing w:line="400" w:lineRule="atLeast"/>
    </w:pPr>
    <w:rPr>
      <w:rFonts w:hAnsi="Calibri"/>
      <w:color w:val="auto"/>
      <w:szCs w:val="24"/>
    </w:rPr>
  </w:style>
  <w:style w:type="paragraph" w:customStyle="1" w:styleId="616">
    <w:name w:val="样式6"/>
    <w:basedOn w:val="343"/>
    <w:qFormat/>
    <w:uiPriority w:val="0"/>
  </w:style>
  <w:style w:type="paragraph" w:customStyle="1" w:styleId="617">
    <w:name w:val="CM65"/>
    <w:basedOn w:val="102"/>
    <w:next w:val="102"/>
    <w:qFormat/>
    <w:uiPriority w:val="0"/>
    <w:pPr>
      <w:adjustRightInd w:val="0"/>
      <w:spacing w:line="400" w:lineRule="atLeast"/>
    </w:pPr>
    <w:rPr>
      <w:rFonts w:hAnsi="Calibri"/>
      <w:color w:val="auto"/>
      <w:szCs w:val="24"/>
    </w:rPr>
  </w:style>
  <w:style w:type="paragraph" w:customStyle="1" w:styleId="618">
    <w:name w:val="列出段落1"/>
    <w:basedOn w:val="1"/>
    <w:qFormat/>
    <w:uiPriority w:val="0"/>
    <w:pPr>
      <w:widowControl w:val="0"/>
      <w:ind w:firstLine="420" w:firstLineChars="200"/>
      <w:jc w:val="both"/>
    </w:pPr>
    <w:rPr>
      <w:rFonts w:ascii="Calibri" w:hAnsi="Calibri"/>
      <w:kern w:val="2"/>
      <w:sz w:val="21"/>
      <w:szCs w:val="22"/>
    </w:rPr>
  </w:style>
  <w:style w:type="paragraph" w:customStyle="1" w:styleId="619">
    <w:name w:val="Char6 Char Char Char2"/>
    <w:basedOn w:val="1"/>
    <w:qFormat/>
    <w:uiPriority w:val="0"/>
    <w:pPr>
      <w:widowControl w:val="0"/>
      <w:tabs>
        <w:tab w:val="left" w:pos="794"/>
        <w:tab w:val="left" w:pos="1191"/>
        <w:tab w:val="left" w:pos="1588"/>
        <w:tab w:val="left" w:pos="1985"/>
      </w:tabs>
      <w:autoSpaceDE w:val="0"/>
      <w:autoSpaceDN w:val="0"/>
      <w:adjustRightInd w:val="0"/>
      <w:spacing w:before="136"/>
      <w:jc w:val="both"/>
    </w:pPr>
    <w:rPr>
      <w:rFonts w:ascii="Tahoma" w:hAnsi="Tahoma"/>
      <w:sz w:val="24"/>
      <w:lang w:val="en-GB"/>
    </w:rPr>
  </w:style>
  <w:style w:type="paragraph" w:customStyle="1" w:styleId="620">
    <w:name w:val="P4"/>
    <w:qFormat/>
    <w:uiPriority w:val="0"/>
    <w:pPr>
      <w:widowControl w:val="0"/>
      <w:adjustRightInd w:val="0"/>
      <w:spacing w:after="240" w:line="240" w:lineRule="atLeast"/>
      <w:ind w:left="2880"/>
      <w:jc w:val="both"/>
      <w:textAlignment w:val="baseline"/>
    </w:pPr>
    <w:rPr>
      <w:rFonts w:ascii="Times New Roman" w:hAnsi="Times New Roman" w:eastAsia="全真中明體" w:cs="Times New Roman"/>
      <w:spacing w:val="20"/>
      <w:sz w:val="24"/>
      <w:lang w:val="en-GB" w:eastAsia="zh-TW" w:bidi="ar-SA"/>
    </w:rPr>
  </w:style>
  <w:style w:type="paragraph" w:customStyle="1" w:styleId="621">
    <w:name w:val="font5"/>
    <w:basedOn w:val="1"/>
    <w:qFormat/>
    <w:uiPriority w:val="0"/>
    <w:pPr>
      <w:spacing w:before="100" w:beforeAutospacing="1" w:after="100" w:afterAutospacing="1"/>
    </w:pPr>
    <w:rPr>
      <w:rFonts w:hint="eastAsia" w:ascii="宋体" w:hAnsi="宋体" w:cs="Arial Unicode MS"/>
      <w:sz w:val="18"/>
      <w:szCs w:val="18"/>
    </w:rPr>
  </w:style>
  <w:style w:type="paragraph" w:customStyle="1" w:styleId="622">
    <w:name w:val="Char311"/>
    <w:basedOn w:val="1"/>
    <w:qFormat/>
    <w:uiPriority w:val="0"/>
    <w:pPr>
      <w:widowControl w:val="0"/>
      <w:tabs>
        <w:tab w:val="left" w:pos="794"/>
        <w:tab w:val="left" w:pos="1191"/>
        <w:tab w:val="left" w:pos="1588"/>
        <w:tab w:val="left" w:pos="1985"/>
      </w:tabs>
      <w:autoSpaceDE w:val="0"/>
      <w:autoSpaceDN w:val="0"/>
      <w:adjustRightInd w:val="0"/>
      <w:spacing w:before="136"/>
      <w:jc w:val="both"/>
    </w:pPr>
    <w:rPr>
      <w:rFonts w:ascii="Tahoma" w:hAnsi="Tahoma"/>
      <w:sz w:val="24"/>
      <w:lang w:val="en-GB"/>
    </w:rPr>
  </w:style>
  <w:style w:type="paragraph" w:customStyle="1" w:styleId="623">
    <w:name w:val="CM40"/>
    <w:basedOn w:val="102"/>
    <w:next w:val="102"/>
    <w:qFormat/>
    <w:uiPriority w:val="0"/>
    <w:pPr>
      <w:adjustRightInd w:val="0"/>
      <w:spacing w:line="440" w:lineRule="atLeast"/>
    </w:pPr>
    <w:rPr>
      <w:rFonts w:hAnsi="Calibri"/>
      <w:color w:val="auto"/>
      <w:szCs w:val="24"/>
    </w:rPr>
  </w:style>
  <w:style w:type="paragraph" w:customStyle="1" w:styleId="624">
    <w:name w:val="Report Text"/>
    <w:qFormat/>
    <w:uiPriority w:val="0"/>
    <w:pPr>
      <w:suppressAutoHyphens/>
      <w:spacing w:after="180" w:line="260" w:lineRule="atLeast"/>
      <w:ind w:left="1253"/>
      <w:jc w:val="both"/>
    </w:pPr>
    <w:rPr>
      <w:rFonts w:ascii="Arial" w:hAnsi="Arial" w:eastAsia="宋体" w:cs="Times New Roman"/>
      <w:sz w:val="22"/>
      <w:lang w:val="en-GB" w:eastAsia="ar-SA" w:bidi="ar-SA"/>
    </w:rPr>
  </w:style>
  <w:style w:type="paragraph" w:customStyle="1" w:styleId="625">
    <w:name w:val="CM204"/>
    <w:basedOn w:val="102"/>
    <w:next w:val="102"/>
    <w:qFormat/>
    <w:uiPriority w:val="0"/>
    <w:pPr>
      <w:adjustRightInd w:val="0"/>
    </w:pPr>
    <w:rPr>
      <w:rFonts w:hAnsi="Calibri"/>
      <w:color w:val="auto"/>
      <w:szCs w:val="24"/>
    </w:rPr>
  </w:style>
  <w:style w:type="paragraph" w:customStyle="1" w:styleId="626">
    <w:name w:val="xl31"/>
    <w:basedOn w:val="1"/>
    <w:qFormat/>
    <w:uiPriority w:val="0"/>
    <w:pPr>
      <w:pBdr>
        <w:top w:val="single" w:color="auto" w:sz="4" w:space="0"/>
        <w:left w:val="single" w:color="auto" w:sz="4" w:space="0"/>
      </w:pBdr>
      <w:spacing w:before="100" w:beforeAutospacing="1" w:after="100" w:afterAutospacing="1"/>
      <w:jc w:val="center"/>
      <w:textAlignment w:val="center"/>
    </w:pPr>
    <w:rPr>
      <w:rFonts w:ascii="Arial Unicode MS" w:hAnsi="Arial Unicode MS" w:eastAsia="Arial Unicode MS" w:cs="Arial Unicode MS"/>
      <w:sz w:val="18"/>
      <w:szCs w:val="18"/>
    </w:rPr>
  </w:style>
  <w:style w:type="paragraph" w:customStyle="1" w:styleId="627">
    <w:name w:val="样式 正文缩进正文（首行缩进两字）特点ALT+Z表正文正文非缩进四号段1Normal Indent Char2...1"/>
    <w:basedOn w:val="3"/>
    <w:qFormat/>
    <w:uiPriority w:val="0"/>
    <w:pPr>
      <w:widowControl w:val="0"/>
      <w:adjustRightInd w:val="0"/>
      <w:spacing w:before="1320" w:after="240" w:line="300" w:lineRule="auto"/>
      <w:jc w:val="center"/>
      <w:textAlignment w:val="baseline"/>
    </w:pPr>
    <w:rPr>
      <w:rFonts w:cs="宋体"/>
    </w:rPr>
  </w:style>
  <w:style w:type="paragraph" w:customStyle="1" w:styleId="628">
    <w:name w:val="opening2"/>
    <w:basedOn w:val="1"/>
    <w:qFormat/>
    <w:uiPriority w:val="0"/>
    <w:pPr>
      <w:spacing w:before="100" w:beforeAutospacing="1" w:after="100" w:afterAutospacing="1"/>
    </w:pPr>
    <w:rPr>
      <w:rFonts w:ascii="宋体" w:hAnsi="宋体" w:cs="宋体"/>
      <w:color w:val="000000"/>
      <w:sz w:val="23"/>
      <w:szCs w:val="23"/>
    </w:rPr>
  </w:style>
  <w:style w:type="paragraph" w:customStyle="1" w:styleId="629">
    <w:name w:val="CM182"/>
    <w:basedOn w:val="102"/>
    <w:next w:val="102"/>
    <w:qFormat/>
    <w:uiPriority w:val="0"/>
    <w:pPr>
      <w:adjustRightInd w:val="0"/>
    </w:pPr>
    <w:rPr>
      <w:rFonts w:hAnsi="Calibri"/>
      <w:color w:val="auto"/>
      <w:szCs w:val="24"/>
    </w:rPr>
  </w:style>
  <w:style w:type="paragraph" w:customStyle="1" w:styleId="630">
    <w:name w:val="CM3"/>
    <w:basedOn w:val="102"/>
    <w:next w:val="102"/>
    <w:qFormat/>
    <w:uiPriority w:val="0"/>
    <w:pPr>
      <w:adjustRightInd w:val="0"/>
      <w:spacing w:line="500" w:lineRule="atLeast"/>
    </w:pPr>
    <w:rPr>
      <w:rFonts w:hAnsi="Calibri"/>
      <w:color w:val="auto"/>
      <w:szCs w:val="24"/>
    </w:rPr>
  </w:style>
  <w:style w:type="paragraph" w:customStyle="1" w:styleId="631">
    <w:name w:val="明显引用1"/>
    <w:basedOn w:val="1"/>
    <w:next w:val="1"/>
    <w:qFormat/>
    <w:uiPriority w:val="0"/>
    <w:pPr>
      <w:widowControl w:val="0"/>
      <w:pBdr>
        <w:bottom w:val="single" w:color="4F81BD" w:sz="4" w:space="4"/>
      </w:pBdr>
      <w:spacing w:before="200" w:after="280"/>
      <w:ind w:left="936" w:right="936"/>
      <w:jc w:val="both"/>
    </w:pPr>
    <w:rPr>
      <w:rFonts w:ascii="Calibri" w:hAnsi="Calibri"/>
      <w:b/>
      <w:bCs/>
      <w:i/>
      <w:iCs/>
      <w:color w:val="4F81BD"/>
    </w:rPr>
  </w:style>
  <w:style w:type="paragraph" w:customStyle="1" w:styleId="632">
    <w:name w:val="CM45"/>
    <w:basedOn w:val="102"/>
    <w:next w:val="102"/>
    <w:qFormat/>
    <w:uiPriority w:val="0"/>
    <w:pPr>
      <w:adjustRightInd w:val="0"/>
      <w:spacing w:line="440" w:lineRule="atLeast"/>
    </w:pPr>
    <w:rPr>
      <w:rFonts w:hAnsi="Calibri"/>
      <w:color w:val="auto"/>
      <w:szCs w:val="24"/>
    </w:rPr>
  </w:style>
  <w:style w:type="paragraph" w:customStyle="1" w:styleId="633">
    <w:name w:val="CM109"/>
    <w:basedOn w:val="102"/>
    <w:next w:val="102"/>
    <w:qFormat/>
    <w:uiPriority w:val="0"/>
    <w:pPr>
      <w:adjustRightInd w:val="0"/>
    </w:pPr>
    <w:rPr>
      <w:rFonts w:hAnsi="Calibri"/>
      <w:color w:val="auto"/>
      <w:szCs w:val="24"/>
    </w:rPr>
  </w:style>
  <w:style w:type="paragraph" w:customStyle="1" w:styleId="634">
    <w:name w:val="表"/>
    <w:basedOn w:val="1"/>
    <w:qFormat/>
    <w:uiPriority w:val="0"/>
    <w:pPr>
      <w:widowControl w:val="0"/>
      <w:tabs>
        <w:tab w:val="left" w:pos="0"/>
      </w:tabs>
      <w:spacing w:line="360" w:lineRule="auto"/>
      <w:ind w:left="5"/>
      <w:jc w:val="center"/>
    </w:pPr>
    <w:rPr>
      <w:rFonts w:ascii="宋体" w:hAnsi="宋体"/>
      <w:color w:val="000000"/>
      <w:sz w:val="21"/>
      <w:szCs w:val="28"/>
    </w:rPr>
  </w:style>
  <w:style w:type="paragraph" w:customStyle="1" w:styleId="635">
    <w:name w:val="正文 New"/>
    <w:qFormat/>
    <w:uiPriority w:val="0"/>
    <w:pPr>
      <w:widowControl w:val="0"/>
      <w:numPr>
        <w:ilvl w:val="0"/>
        <w:numId w:val="4"/>
      </w:numPr>
      <w:ind w:left="0" w:firstLine="0"/>
      <w:jc w:val="both"/>
    </w:pPr>
    <w:rPr>
      <w:rFonts w:ascii="宋体" w:hAnsi="宋体" w:eastAsia="宋体" w:cs="Times New Roman"/>
      <w:kern w:val="2"/>
      <w:sz w:val="21"/>
      <w:szCs w:val="21"/>
      <w:lang w:val="en-US" w:eastAsia="zh-CN" w:bidi="ar-SA"/>
    </w:rPr>
  </w:style>
  <w:style w:type="paragraph" w:customStyle="1" w:styleId="636">
    <w:name w:val="样式 样式 样式 宋体 小四 黑色 两端对齐 + 首行缩进:  2 字符 + 五号 首行缩进:  2 字符"/>
    <w:basedOn w:val="1"/>
    <w:qFormat/>
    <w:uiPriority w:val="0"/>
    <w:pPr>
      <w:spacing w:line="340" w:lineRule="exact"/>
      <w:ind w:firstLine="200" w:firstLineChars="200"/>
      <w:jc w:val="both"/>
    </w:pPr>
    <w:rPr>
      <w:rFonts w:ascii="宋体" w:hAnsi="宋体"/>
      <w:color w:val="000000"/>
      <w:sz w:val="21"/>
    </w:rPr>
  </w:style>
  <w:style w:type="paragraph" w:customStyle="1" w:styleId="637">
    <w:name w:val="引用11"/>
    <w:basedOn w:val="1"/>
    <w:next w:val="1"/>
    <w:qFormat/>
    <w:uiPriority w:val="0"/>
    <w:pPr>
      <w:widowControl w:val="0"/>
      <w:jc w:val="both"/>
    </w:pPr>
    <w:rPr>
      <w:rFonts w:ascii="Calibri" w:hAnsi="Calibri"/>
      <w:i/>
      <w:color w:val="000000"/>
      <w:sz w:val="22"/>
    </w:rPr>
  </w:style>
  <w:style w:type="paragraph" w:customStyle="1" w:styleId="638">
    <w:name w:val="CM94"/>
    <w:basedOn w:val="102"/>
    <w:next w:val="102"/>
    <w:qFormat/>
    <w:uiPriority w:val="0"/>
    <w:pPr>
      <w:adjustRightInd w:val="0"/>
    </w:pPr>
    <w:rPr>
      <w:rFonts w:hAnsi="Calibri"/>
      <w:color w:val="auto"/>
      <w:szCs w:val="24"/>
    </w:rPr>
  </w:style>
  <w:style w:type="paragraph" w:customStyle="1" w:styleId="639">
    <w:name w:val="列出段落2"/>
    <w:basedOn w:val="1"/>
    <w:qFormat/>
    <w:uiPriority w:val="0"/>
    <w:pPr>
      <w:widowControl w:val="0"/>
      <w:ind w:firstLine="420" w:firstLineChars="200"/>
      <w:jc w:val="both"/>
    </w:pPr>
    <w:rPr>
      <w:rFonts w:ascii="Calibri" w:hAnsi="Calibri" w:cs="Calibri"/>
      <w:kern w:val="2"/>
      <w:sz w:val="21"/>
      <w:szCs w:val="21"/>
    </w:rPr>
  </w:style>
  <w:style w:type="paragraph" w:customStyle="1" w:styleId="640">
    <w:name w:val="Char Char Char11"/>
    <w:basedOn w:val="1"/>
    <w:qFormat/>
    <w:uiPriority w:val="0"/>
    <w:pPr>
      <w:widowControl w:val="0"/>
      <w:spacing w:line="240" w:lineRule="atLeast"/>
      <w:ind w:left="420" w:firstLine="420"/>
      <w:jc w:val="both"/>
    </w:pPr>
    <w:rPr>
      <w:sz w:val="21"/>
      <w:szCs w:val="21"/>
    </w:rPr>
  </w:style>
  <w:style w:type="paragraph" w:customStyle="1" w:styleId="641">
    <w:name w:val="CM196"/>
    <w:basedOn w:val="102"/>
    <w:next w:val="102"/>
    <w:qFormat/>
    <w:uiPriority w:val="0"/>
    <w:pPr>
      <w:adjustRightInd w:val="0"/>
    </w:pPr>
    <w:rPr>
      <w:rFonts w:hAnsi="Calibri"/>
      <w:color w:val="auto"/>
      <w:szCs w:val="24"/>
    </w:rPr>
  </w:style>
  <w:style w:type="paragraph" w:customStyle="1" w:styleId="642">
    <w:name w:val="CM67"/>
    <w:basedOn w:val="102"/>
    <w:next w:val="102"/>
    <w:qFormat/>
    <w:uiPriority w:val="0"/>
    <w:pPr>
      <w:adjustRightInd w:val="0"/>
      <w:spacing w:line="556" w:lineRule="atLeast"/>
    </w:pPr>
    <w:rPr>
      <w:rFonts w:hAnsi="Calibri"/>
      <w:color w:val="auto"/>
      <w:szCs w:val="24"/>
    </w:rPr>
  </w:style>
  <w:style w:type="paragraph" w:customStyle="1" w:styleId="643">
    <w:name w:val="a5"/>
    <w:basedOn w:val="1"/>
    <w:qFormat/>
    <w:uiPriority w:val="0"/>
    <w:pPr>
      <w:spacing w:before="100" w:beforeAutospacing="1" w:after="100" w:afterAutospacing="1"/>
    </w:pPr>
    <w:rPr>
      <w:rFonts w:ascii="宋体" w:hAnsi="宋体" w:cs="宋体"/>
      <w:sz w:val="24"/>
      <w:szCs w:val="24"/>
    </w:rPr>
  </w:style>
  <w:style w:type="paragraph" w:customStyle="1" w:styleId="644">
    <w:name w:val="CM31"/>
    <w:basedOn w:val="102"/>
    <w:next w:val="102"/>
    <w:qFormat/>
    <w:uiPriority w:val="0"/>
    <w:pPr>
      <w:adjustRightInd w:val="0"/>
      <w:spacing w:line="400" w:lineRule="atLeast"/>
    </w:pPr>
    <w:rPr>
      <w:rFonts w:hAnsi="Calibri"/>
      <w:color w:val="auto"/>
      <w:szCs w:val="24"/>
    </w:rPr>
  </w:style>
  <w:style w:type="paragraph" w:customStyle="1" w:styleId="645">
    <w:name w:val="xl37"/>
    <w:basedOn w:val="1"/>
    <w:qFormat/>
    <w:uiPriority w:val="0"/>
    <w:pPr>
      <w:pBdr>
        <w:top w:val="single" w:color="auto" w:sz="4" w:space="0"/>
        <w:left w:val="single" w:color="auto" w:sz="4" w:space="0"/>
        <w:bottom w:val="single" w:color="auto" w:sz="4" w:space="0"/>
      </w:pBdr>
      <w:spacing w:before="100" w:beforeAutospacing="1" w:after="100" w:afterAutospacing="1"/>
      <w:jc w:val="center"/>
      <w:textAlignment w:val="top"/>
    </w:pPr>
    <w:rPr>
      <w:rFonts w:ascii="Arial Unicode MS" w:hAnsi="Arial Unicode MS" w:eastAsia="Arial Unicode MS" w:cs="Arial Unicode MS"/>
      <w:sz w:val="18"/>
      <w:szCs w:val="18"/>
    </w:rPr>
  </w:style>
  <w:style w:type="paragraph" w:customStyle="1" w:styleId="646">
    <w:name w:val="CM63"/>
    <w:basedOn w:val="102"/>
    <w:next w:val="102"/>
    <w:qFormat/>
    <w:uiPriority w:val="0"/>
    <w:pPr>
      <w:adjustRightInd w:val="0"/>
      <w:spacing w:line="400" w:lineRule="atLeast"/>
    </w:pPr>
    <w:rPr>
      <w:rFonts w:hAnsi="Calibri"/>
      <w:color w:val="auto"/>
      <w:szCs w:val="24"/>
    </w:rPr>
  </w:style>
  <w:style w:type="paragraph" w:customStyle="1" w:styleId="647">
    <w:name w:val="xl44"/>
    <w:basedOn w:val="1"/>
    <w:qFormat/>
    <w:uiPriority w:val="0"/>
    <w:pPr>
      <w:pBdr>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sz w:val="18"/>
      <w:szCs w:val="18"/>
    </w:rPr>
  </w:style>
  <w:style w:type="paragraph" w:styleId="648">
    <w:name w:val="List Paragraph"/>
    <w:basedOn w:val="1"/>
    <w:qFormat/>
    <w:uiPriority w:val="0"/>
    <w:pPr>
      <w:widowControl w:val="0"/>
      <w:ind w:firstLine="420" w:firstLineChars="200"/>
      <w:jc w:val="both"/>
    </w:pPr>
    <w:rPr>
      <w:rFonts w:ascii="Calibri" w:hAnsi="Calibri"/>
      <w:kern w:val="2"/>
      <w:sz w:val="21"/>
      <w:szCs w:val="22"/>
    </w:rPr>
  </w:style>
  <w:style w:type="paragraph" w:customStyle="1" w:styleId="649">
    <w:name w:val="CM41"/>
    <w:basedOn w:val="102"/>
    <w:next w:val="102"/>
    <w:qFormat/>
    <w:uiPriority w:val="0"/>
    <w:pPr>
      <w:adjustRightInd w:val="0"/>
    </w:pPr>
    <w:rPr>
      <w:rFonts w:hAnsi="Calibri"/>
      <w:color w:val="auto"/>
      <w:szCs w:val="24"/>
    </w:rPr>
  </w:style>
  <w:style w:type="paragraph" w:customStyle="1" w:styleId="650">
    <w:name w:val="CM161"/>
    <w:basedOn w:val="102"/>
    <w:next w:val="102"/>
    <w:qFormat/>
    <w:uiPriority w:val="0"/>
    <w:pPr>
      <w:adjustRightInd w:val="0"/>
      <w:spacing w:line="340" w:lineRule="atLeast"/>
    </w:pPr>
    <w:rPr>
      <w:rFonts w:hAnsi="Calibri"/>
      <w:color w:val="auto"/>
      <w:szCs w:val="24"/>
    </w:rPr>
  </w:style>
  <w:style w:type="paragraph" w:customStyle="1" w:styleId="651">
    <w:name w:val="Cap_正文"/>
    <w:qFormat/>
    <w:uiPriority w:val="0"/>
    <w:pPr>
      <w:spacing w:after="160"/>
      <w:ind w:firstLine="200" w:firstLineChars="200"/>
    </w:pPr>
    <w:rPr>
      <w:rFonts w:ascii="Times New Roman" w:hAnsi="Times New Roman" w:eastAsia="宋体" w:cs="Times New Roman"/>
      <w:sz w:val="22"/>
      <w:szCs w:val="24"/>
      <w:lang w:val="en-US" w:eastAsia="en-CA" w:bidi="ar-SA"/>
    </w:rPr>
  </w:style>
  <w:style w:type="paragraph" w:customStyle="1" w:styleId="652">
    <w:name w:val="CM184"/>
    <w:basedOn w:val="102"/>
    <w:next w:val="102"/>
    <w:qFormat/>
    <w:uiPriority w:val="0"/>
    <w:pPr>
      <w:adjustRightInd w:val="0"/>
    </w:pPr>
    <w:rPr>
      <w:rFonts w:hAnsi="Calibri"/>
      <w:color w:val="auto"/>
      <w:szCs w:val="24"/>
    </w:rPr>
  </w:style>
  <w:style w:type="paragraph" w:customStyle="1" w:styleId="653">
    <w:name w:val="Char Char Char Char Char Char Char1"/>
    <w:basedOn w:val="17"/>
    <w:qFormat/>
    <w:uiPriority w:val="0"/>
    <w:pPr>
      <w:widowControl w:val="0"/>
      <w:shd w:val="clear" w:color="auto" w:fill="000080"/>
      <w:adjustRightInd w:val="0"/>
      <w:spacing w:line="436" w:lineRule="exact"/>
      <w:ind w:left="357"/>
      <w:outlineLvl w:val="3"/>
    </w:pPr>
    <w:rPr>
      <w:rFonts w:ascii="Tahoma" w:hAnsi="Tahoma"/>
      <w:b/>
      <w:kern w:val="2"/>
      <w:sz w:val="24"/>
      <w:szCs w:val="24"/>
    </w:rPr>
  </w:style>
  <w:style w:type="paragraph" w:customStyle="1" w:styleId="654">
    <w:name w:val="text"/>
    <w:basedOn w:val="1"/>
    <w:qFormat/>
    <w:uiPriority w:val="0"/>
    <w:pPr>
      <w:numPr>
        <w:ilvl w:val="2"/>
        <w:numId w:val="4"/>
      </w:numPr>
      <w:spacing w:before="100" w:beforeAutospacing="1" w:after="100" w:afterAutospacing="1"/>
      <w:ind w:left="0" w:firstLine="0"/>
    </w:pPr>
    <w:rPr>
      <w:rFonts w:ascii="??" w:hAnsi="??" w:cs="宋体"/>
      <w:color w:val="000000"/>
      <w:sz w:val="18"/>
      <w:szCs w:val="18"/>
    </w:rPr>
  </w:style>
  <w:style w:type="paragraph" w:customStyle="1" w:styleId="655">
    <w:name w:val="Cap_标题_2"/>
    <w:next w:val="1"/>
    <w:qFormat/>
    <w:uiPriority w:val="0"/>
    <w:pPr>
      <w:keepNext/>
      <w:tabs>
        <w:tab w:val="left" w:pos="360"/>
        <w:tab w:val="left" w:pos="567"/>
      </w:tabs>
      <w:spacing w:before="180" w:after="120"/>
      <w:ind w:left="360" w:hanging="360"/>
      <w:outlineLvl w:val="1"/>
    </w:pPr>
    <w:rPr>
      <w:rFonts w:ascii="Arial" w:hAnsi="Arial" w:eastAsia="宋体" w:cs="Times New Roman"/>
      <w:b/>
      <w:sz w:val="24"/>
      <w:szCs w:val="24"/>
      <w:lang w:val="en-US" w:eastAsia="en-CA" w:bidi="ar-SA"/>
    </w:rPr>
  </w:style>
  <w:style w:type="paragraph" w:customStyle="1" w:styleId="656">
    <w:name w:val="CM91"/>
    <w:basedOn w:val="102"/>
    <w:next w:val="102"/>
    <w:qFormat/>
    <w:uiPriority w:val="0"/>
    <w:pPr>
      <w:adjustRightInd w:val="0"/>
      <w:spacing w:line="478" w:lineRule="atLeast"/>
    </w:pPr>
    <w:rPr>
      <w:rFonts w:hAnsi="Calibri"/>
      <w:color w:val="auto"/>
      <w:szCs w:val="24"/>
    </w:rPr>
  </w:style>
  <w:style w:type="paragraph" w:customStyle="1" w:styleId="657">
    <w:name w:val="Char Char Char Char Char Char Char Char Char Char12"/>
    <w:basedOn w:val="1"/>
    <w:qFormat/>
    <w:uiPriority w:val="0"/>
    <w:pPr>
      <w:widowControl w:val="0"/>
      <w:tabs>
        <w:tab w:val="left" w:pos="425"/>
      </w:tabs>
      <w:ind w:left="425" w:hanging="425"/>
      <w:jc w:val="both"/>
    </w:pPr>
    <w:rPr>
      <w:rFonts w:ascii="Arial" w:hAnsi="Arial" w:eastAsia="黑体" w:cs="宋体"/>
      <w:b/>
      <w:bCs/>
      <w:kern w:val="2"/>
      <w:sz w:val="32"/>
      <w:szCs w:val="32"/>
    </w:rPr>
  </w:style>
  <w:style w:type="paragraph" w:customStyle="1" w:styleId="658">
    <w:name w:val="CM136"/>
    <w:basedOn w:val="102"/>
    <w:next w:val="102"/>
    <w:qFormat/>
    <w:uiPriority w:val="0"/>
    <w:pPr>
      <w:adjustRightInd w:val="0"/>
      <w:spacing w:line="273" w:lineRule="atLeast"/>
    </w:pPr>
    <w:rPr>
      <w:rFonts w:hAnsi="Calibri"/>
      <w:color w:val="auto"/>
      <w:szCs w:val="24"/>
    </w:rPr>
  </w:style>
  <w:style w:type="paragraph" w:customStyle="1" w:styleId="659">
    <w:name w:val="（叙述性）内文"/>
    <w:basedOn w:val="1"/>
    <w:qFormat/>
    <w:uiPriority w:val="0"/>
    <w:pPr>
      <w:widowControl w:val="0"/>
      <w:autoSpaceDE w:val="0"/>
      <w:autoSpaceDN w:val="0"/>
      <w:adjustRightInd w:val="0"/>
      <w:spacing w:after="45" w:line="360" w:lineRule="atLeast"/>
      <w:ind w:firstLine="397"/>
      <w:jc w:val="both"/>
      <w:textAlignment w:val="center"/>
    </w:pPr>
    <w:rPr>
      <w:rFonts w:ascii="方正宋一简体" w:eastAsia="方正宋一简体"/>
      <w:color w:val="000000"/>
      <w:sz w:val="19"/>
      <w:szCs w:val="19"/>
      <w:lang w:val="zh-CN"/>
    </w:rPr>
  </w:style>
  <w:style w:type="paragraph" w:customStyle="1" w:styleId="660">
    <w:name w:val="Char4"/>
    <w:basedOn w:val="1"/>
    <w:qFormat/>
    <w:uiPriority w:val="0"/>
    <w:pPr>
      <w:tabs>
        <w:tab w:val="left" w:pos="425"/>
      </w:tabs>
      <w:spacing w:before="312" w:beforeLines="100" w:after="160" w:line="240" w:lineRule="exact"/>
      <w:ind w:left="425" w:hanging="425"/>
    </w:pPr>
    <w:rPr>
      <w:rFonts w:ascii="Verdana" w:hAnsi="Verdana" w:eastAsia="黑体"/>
      <w:lang w:eastAsia="en-US"/>
    </w:rPr>
  </w:style>
  <w:style w:type="paragraph" w:customStyle="1" w:styleId="661">
    <w:name w:val="CM73"/>
    <w:basedOn w:val="102"/>
    <w:next w:val="102"/>
    <w:qFormat/>
    <w:uiPriority w:val="0"/>
    <w:pPr>
      <w:adjustRightInd w:val="0"/>
      <w:spacing w:line="478" w:lineRule="atLeast"/>
    </w:pPr>
    <w:rPr>
      <w:rFonts w:hAnsi="Calibri"/>
      <w:color w:val="auto"/>
      <w:szCs w:val="24"/>
    </w:rPr>
  </w:style>
  <w:style w:type="paragraph" w:customStyle="1" w:styleId="662">
    <w:name w:val="CM216"/>
    <w:basedOn w:val="102"/>
    <w:next w:val="102"/>
    <w:qFormat/>
    <w:uiPriority w:val="0"/>
    <w:pPr>
      <w:adjustRightInd w:val="0"/>
    </w:pPr>
    <w:rPr>
      <w:rFonts w:hAnsi="Calibri"/>
      <w:color w:val="auto"/>
      <w:szCs w:val="24"/>
    </w:rPr>
  </w:style>
  <w:style w:type="paragraph" w:customStyle="1" w:styleId="663">
    <w:name w:val="CM44"/>
    <w:basedOn w:val="102"/>
    <w:next w:val="102"/>
    <w:qFormat/>
    <w:uiPriority w:val="0"/>
    <w:pPr>
      <w:adjustRightInd w:val="0"/>
    </w:pPr>
    <w:rPr>
      <w:rFonts w:hAnsi="Calibri"/>
      <w:color w:val="auto"/>
      <w:szCs w:val="24"/>
    </w:rPr>
  </w:style>
  <w:style w:type="paragraph" w:customStyle="1" w:styleId="664">
    <w:name w:val="列出段落3"/>
    <w:basedOn w:val="1"/>
    <w:qFormat/>
    <w:uiPriority w:val="0"/>
    <w:pPr>
      <w:widowControl w:val="0"/>
      <w:ind w:firstLine="420" w:firstLineChars="200"/>
      <w:jc w:val="both"/>
    </w:pPr>
    <w:rPr>
      <w:rFonts w:ascii="Calibri" w:hAnsi="Calibri"/>
      <w:kern w:val="2"/>
      <w:sz w:val="21"/>
      <w:szCs w:val="22"/>
    </w:rPr>
  </w:style>
  <w:style w:type="paragraph" w:customStyle="1" w:styleId="665">
    <w:name w:val="Char Char Char Char Char Char2"/>
    <w:basedOn w:val="1"/>
    <w:qFormat/>
    <w:uiPriority w:val="0"/>
    <w:pPr>
      <w:widowControl w:val="0"/>
      <w:adjustRightInd w:val="0"/>
      <w:spacing w:line="360" w:lineRule="auto"/>
      <w:jc w:val="both"/>
    </w:pPr>
    <w:rPr>
      <w:sz w:val="24"/>
    </w:rPr>
  </w:style>
  <w:style w:type="paragraph" w:customStyle="1" w:styleId="666">
    <w:name w:val="CM54"/>
    <w:basedOn w:val="102"/>
    <w:next w:val="102"/>
    <w:qFormat/>
    <w:uiPriority w:val="0"/>
    <w:pPr>
      <w:adjustRightInd w:val="0"/>
      <w:spacing w:line="400" w:lineRule="atLeast"/>
    </w:pPr>
    <w:rPr>
      <w:rFonts w:hAnsi="Calibri"/>
      <w:color w:val="auto"/>
      <w:szCs w:val="24"/>
    </w:rPr>
  </w:style>
  <w:style w:type="paragraph" w:customStyle="1" w:styleId="667">
    <w:name w:val="CM133"/>
    <w:basedOn w:val="102"/>
    <w:next w:val="102"/>
    <w:qFormat/>
    <w:uiPriority w:val="0"/>
    <w:pPr>
      <w:adjustRightInd w:val="0"/>
      <w:spacing w:line="273" w:lineRule="atLeast"/>
    </w:pPr>
    <w:rPr>
      <w:rFonts w:hAnsi="Calibri"/>
      <w:color w:val="auto"/>
      <w:szCs w:val="24"/>
    </w:rPr>
  </w:style>
  <w:style w:type="paragraph" w:customStyle="1" w:styleId="668">
    <w:name w:val="tabletext"/>
    <w:basedOn w:val="1"/>
    <w:qFormat/>
    <w:uiPriority w:val="0"/>
    <w:pPr>
      <w:spacing w:before="100" w:beforeAutospacing="1" w:after="100" w:afterAutospacing="1"/>
    </w:pPr>
    <w:rPr>
      <w:rFonts w:ascii="宋体" w:hAnsi="宋体" w:cs="宋体"/>
      <w:sz w:val="24"/>
      <w:szCs w:val="24"/>
    </w:rPr>
  </w:style>
  <w:style w:type="paragraph" w:customStyle="1" w:styleId="669">
    <w:name w:val="修订21"/>
    <w:qFormat/>
    <w:uiPriority w:val="0"/>
    <w:rPr>
      <w:rFonts w:ascii="Times New Roman" w:hAnsi="Times New Roman" w:eastAsia="宋体" w:cs="Times New Roman"/>
      <w:kern w:val="2"/>
      <w:sz w:val="21"/>
      <w:szCs w:val="24"/>
      <w:lang w:val="en-US" w:eastAsia="zh-CN" w:bidi="ar-SA"/>
    </w:rPr>
  </w:style>
  <w:style w:type="paragraph" w:customStyle="1" w:styleId="670">
    <w:name w:val="Char Char Char1"/>
    <w:basedOn w:val="1"/>
    <w:qFormat/>
    <w:uiPriority w:val="0"/>
    <w:pPr>
      <w:widowControl w:val="0"/>
      <w:spacing w:line="240" w:lineRule="atLeast"/>
      <w:ind w:left="420" w:firstLine="420"/>
      <w:jc w:val="both"/>
    </w:pPr>
    <w:rPr>
      <w:sz w:val="21"/>
      <w:szCs w:val="21"/>
    </w:rPr>
  </w:style>
  <w:style w:type="paragraph" w:customStyle="1" w:styleId="671">
    <w:name w:val="CM117"/>
    <w:basedOn w:val="102"/>
    <w:next w:val="102"/>
    <w:qFormat/>
    <w:uiPriority w:val="0"/>
    <w:pPr>
      <w:adjustRightInd w:val="0"/>
      <w:spacing w:line="546" w:lineRule="atLeast"/>
    </w:pPr>
    <w:rPr>
      <w:rFonts w:hAnsi="Calibri"/>
      <w:color w:val="auto"/>
      <w:szCs w:val="24"/>
    </w:rPr>
  </w:style>
  <w:style w:type="paragraph" w:customStyle="1" w:styleId="672">
    <w:name w:val="+正文"/>
    <w:basedOn w:val="1"/>
    <w:qFormat/>
    <w:uiPriority w:val="0"/>
    <w:pPr>
      <w:widowControl w:val="0"/>
      <w:spacing w:line="360" w:lineRule="auto"/>
      <w:ind w:firstLine="200" w:firstLineChars="200"/>
      <w:jc w:val="both"/>
    </w:pPr>
    <w:rPr>
      <w:kern w:val="2"/>
      <w:sz w:val="24"/>
      <w:szCs w:val="28"/>
    </w:rPr>
  </w:style>
  <w:style w:type="paragraph" w:customStyle="1" w:styleId="673">
    <w:name w:val="CM103"/>
    <w:basedOn w:val="102"/>
    <w:next w:val="102"/>
    <w:qFormat/>
    <w:uiPriority w:val="0"/>
    <w:pPr>
      <w:adjustRightInd w:val="0"/>
    </w:pPr>
    <w:rPr>
      <w:rFonts w:hAnsi="Calibri"/>
      <w:color w:val="auto"/>
      <w:szCs w:val="24"/>
    </w:rPr>
  </w:style>
  <w:style w:type="paragraph" w:customStyle="1" w:styleId="674">
    <w:name w:val="正文缩进1"/>
    <w:basedOn w:val="1"/>
    <w:qFormat/>
    <w:uiPriority w:val="0"/>
    <w:pPr>
      <w:widowControl w:val="0"/>
      <w:ind w:firstLine="420" w:firstLineChars="200"/>
      <w:jc w:val="both"/>
    </w:pPr>
    <w:rPr>
      <w:rFonts w:ascii="Calibri" w:hAnsi="Calibri"/>
      <w:kern w:val="2"/>
      <w:sz w:val="21"/>
      <w:szCs w:val="22"/>
    </w:rPr>
  </w:style>
  <w:style w:type="paragraph" w:customStyle="1" w:styleId="675">
    <w:name w:val="Char Char2 Char Char Char Char Char Char Char Char Char Char Char Char Char"/>
    <w:basedOn w:val="1"/>
    <w:qFormat/>
    <w:uiPriority w:val="0"/>
    <w:pPr>
      <w:widowControl w:val="0"/>
      <w:ind w:firstLine="360" w:firstLineChars="150"/>
      <w:jc w:val="both"/>
    </w:pPr>
    <w:rPr>
      <w:rFonts w:ascii="Tahoma" w:hAnsi="Tahoma"/>
      <w:kern w:val="2"/>
      <w:sz w:val="24"/>
    </w:rPr>
  </w:style>
  <w:style w:type="paragraph" w:customStyle="1" w:styleId="676">
    <w:name w:val="CM48"/>
    <w:basedOn w:val="102"/>
    <w:next w:val="102"/>
    <w:qFormat/>
    <w:uiPriority w:val="0"/>
    <w:pPr>
      <w:adjustRightInd w:val="0"/>
      <w:spacing w:line="400" w:lineRule="atLeast"/>
    </w:pPr>
    <w:rPr>
      <w:rFonts w:hAnsi="Calibri"/>
      <w:color w:val="auto"/>
      <w:szCs w:val="24"/>
    </w:rPr>
  </w:style>
  <w:style w:type="paragraph" w:customStyle="1" w:styleId="677">
    <w:name w:val="xl36"/>
    <w:basedOn w:val="1"/>
    <w:qFormat/>
    <w:uiPriority w:val="0"/>
    <w:pPr>
      <w:pBdr>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sz w:val="18"/>
      <w:szCs w:val="18"/>
    </w:rPr>
  </w:style>
  <w:style w:type="paragraph" w:customStyle="1" w:styleId="678">
    <w:name w:val="CM170"/>
    <w:basedOn w:val="102"/>
    <w:next w:val="102"/>
    <w:qFormat/>
    <w:uiPriority w:val="0"/>
    <w:pPr>
      <w:adjustRightInd w:val="0"/>
    </w:pPr>
    <w:rPr>
      <w:rFonts w:hAnsi="Calibri"/>
      <w:color w:val="auto"/>
      <w:szCs w:val="24"/>
    </w:rPr>
  </w:style>
  <w:style w:type="paragraph" w:customStyle="1" w:styleId="679">
    <w:name w:val="CM181"/>
    <w:basedOn w:val="102"/>
    <w:next w:val="102"/>
    <w:qFormat/>
    <w:uiPriority w:val="0"/>
    <w:pPr>
      <w:adjustRightInd w:val="0"/>
    </w:pPr>
    <w:rPr>
      <w:rFonts w:hAnsi="Calibri"/>
      <w:color w:val="auto"/>
      <w:szCs w:val="24"/>
    </w:rPr>
  </w:style>
  <w:style w:type="paragraph" w:customStyle="1" w:styleId="680">
    <w:name w:val="CM122"/>
    <w:basedOn w:val="102"/>
    <w:next w:val="102"/>
    <w:qFormat/>
    <w:uiPriority w:val="0"/>
    <w:pPr>
      <w:adjustRightInd w:val="0"/>
    </w:pPr>
    <w:rPr>
      <w:rFonts w:hAnsi="Calibri"/>
      <w:color w:val="auto"/>
      <w:szCs w:val="24"/>
    </w:rPr>
  </w:style>
  <w:style w:type="paragraph" w:customStyle="1" w:styleId="681">
    <w:name w:val="CM190"/>
    <w:basedOn w:val="102"/>
    <w:next w:val="102"/>
    <w:qFormat/>
    <w:uiPriority w:val="0"/>
    <w:pPr>
      <w:adjustRightInd w:val="0"/>
    </w:pPr>
    <w:rPr>
      <w:rFonts w:hAnsi="Calibri"/>
      <w:color w:val="auto"/>
      <w:szCs w:val="24"/>
    </w:rPr>
  </w:style>
  <w:style w:type="paragraph" w:customStyle="1" w:styleId="682">
    <w:name w:val="xl4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rPr>
  </w:style>
  <w:style w:type="paragraph" w:customStyle="1" w:styleId="683">
    <w:name w:val="xl29"/>
    <w:basedOn w:val="1"/>
    <w:qFormat/>
    <w:uiPriority w:val="0"/>
    <w:pPr>
      <w:widowControl w:val="0"/>
      <w:pBdr>
        <w:bottom w:val="single" w:color="auto" w:sz="8" w:space="0"/>
      </w:pBdr>
      <w:spacing w:before="100" w:beforeAutospacing="1" w:after="100" w:afterAutospacing="1"/>
      <w:jc w:val="both"/>
      <w:textAlignment w:val="top"/>
    </w:pPr>
    <w:rPr>
      <w:rFonts w:hint="eastAsia" w:ascii="仿宋_GB2312" w:hAnsi="宋体" w:eastAsia="仿宋_GB2312"/>
      <w:kern w:val="2"/>
      <w:sz w:val="24"/>
      <w:szCs w:val="24"/>
    </w:rPr>
  </w:style>
  <w:style w:type="paragraph" w:customStyle="1" w:styleId="684">
    <w:name w:val="样式 标题 3刘兵3章标题1sect1.2.3sect1.2.31sect1.2.32sect1.2.311sec..."/>
    <w:basedOn w:val="4"/>
    <w:qFormat/>
    <w:uiPriority w:val="0"/>
    <w:pPr>
      <w:keepNext w:val="0"/>
      <w:keepLines w:val="0"/>
      <w:widowControl w:val="0"/>
      <w:tabs>
        <w:tab w:val="left" w:pos="360"/>
        <w:tab w:val="left" w:pos="900"/>
      </w:tabs>
      <w:spacing w:before="120" w:after="120" w:line="360" w:lineRule="auto"/>
    </w:pPr>
    <w:rPr>
      <w:rFonts w:ascii="宋体" w:hAnsi="Arial" w:cs="宋体"/>
      <w:kern w:val="2"/>
      <w:sz w:val="21"/>
      <w:szCs w:val="20"/>
    </w:rPr>
  </w:style>
  <w:style w:type="paragraph" w:customStyle="1" w:styleId="685">
    <w:name w:val="xl51"/>
    <w:basedOn w:val="1"/>
    <w:qFormat/>
    <w:uiPriority w:val="0"/>
    <w:pPr>
      <w:pBdr>
        <w:bottom w:val="single" w:color="auto" w:sz="4" w:space="0"/>
      </w:pBdr>
      <w:spacing w:before="100" w:beforeAutospacing="1" w:after="100" w:afterAutospacing="1"/>
      <w:jc w:val="center"/>
      <w:textAlignment w:val="center"/>
    </w:pPr>
    <w:rPr>
      <w:rFonts w:ascii="宋体" w:hAnsi="宋体"/>
      <w:b/>
      <w:bCs/>
      <w:sz w:val="32"/>
      <w:szCs w:val="32"/>
    </w:rPr>
  </w:style>
  <w:style w:type="paragraph" w:customStyle="1" w:styleId="686">
    <w:name w:val="无间隔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87">
    <w:name w:val="缺省文本"/>
    <w:basedOn w:val="1"/>
    <w:qFormat/>
    <w:uiPriority w:val="0"/>
    <w:pPr>
      <w:widowControl w:val="0"/>
      <w:autoSpaceDE w:val="0"/>
      <w:autoSpaceDN w:val="0"/>
      <w:adjustRightInd w:val="0"/>
    </w:pPr>
    <w:rPr>
      <w:sz w:val="24"/>
    </w:rPr>
  </w:style>
  <w:style w:type="paragraph" w:customStyle="1" w:styleId="688">
    <w:name w:val="样式 标题 1 + 居中"/>
    <w:basedOn w:val="2"/>
    <w:qFormat/>
    <w:uiPriority w:val="0"/>
    <w:pPr>
      <w:widowControl w:val="0"/>
      <w:spacing w:before="0" w:after="0"/>
      <w:jc w:val="center"/>
    </w:pPr>
    <w:rPr>
      <w:rFonts w:cs="宋体"/>
      <w:sz w:val="30"/>
      <w:szCs w:val="20"/>
    </w:rPr>
  </w:style>
  <w:style w:type="paragraph" w:customStyle="1" w:styleId="689">
    <w:name w:val="CM160"/>
    <w:basedOn w:val="102"/>
    <w:next w:val="102"/>
    <w:qFormat/>
    <w:uiPriority w:val="0"/>
    <w:pPr>
      <w:adjustRightInd w:val="0"/>
    </w:pPr>
    <w:rPr>
      <w:rFonts w:hAnsi="Calibri"/>
      <w:color w:val="auto"/>
      <w:szCs w:val="24"/>
    </w:rPr>
  </w:style>
  <w:style w:type="paragraph" w:customStyle="1" w:styleId="690">
    <w:name w:val="Char Char Char Char1 Char Char Char Char Char1 Char Char Char1 Char"/>
    <w:basedOn w:val="1"/>
    <w:qFormat/>
    <w:uiPriority w:val="0"/>
    <w:pPr>
      <w:widowControl w:val="0"/>
      <w:spacing w:line="240" w:lineRule="atLeast"/>
      <w:ind w:left="420" w:firstLine="420"/>
      <w:jc w:val="both"/>
    </w:pPr>
    <w:rPr>
      <w:kern w:val="2"/>
      <w:sz w:val="21"/>
      <w:szCs w:val="24"/>
    </w:rPr>
  </w:style>
  <w:style w:type="paragraph" w:customStyle="1" w:styleId="691">
    <w:name w:val="Char2 Char Char Char Char Char Char1"/>
    <w:basedOn w:val="17"/>
    <w:qFormat/>
    <w:uiPriority w:val="0"/>
    <w:pPr>
      <w:widowControl w:val="0"/>
      <w:shd w:val="clear" w:color="auto" w:fill="000080"/>
      <w:jc w:val="both"/>
    </w:pPr>
    <w:rPr>
      <w:rFonts w:ascii="Tahoma" w:hAnsi="Tahoma"/>
      <w:kern w:val="2"/>
      <w:sz w:val="24"/>
      <w:szCs w:val="24"/>
    </w:rPr>
  </w:style>
  <w:style w:type="paragraph" w:customStyle="1" w:styleId="692">
    <w:name w:val="xl28"/>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sz w:val="18"/>
      <w:szCs w:val="18"/>
    </w:rPr>
  </w:style>
  <w:style w:type="paragraph" w:customStyle="1" w:styleId="693">
    <w:name w:val="CM179"/>
    <w:basedOn w:val="102"/>
    <w:next w:val="102"/>
    <w:qFormat/>
    <w:uiPriority w:val="0"/>
    <w:pPr>
      <w:adjustRightInd w:val="0"/>
    </w:pPr>
    <w:rPr>
      <w:rFonts w:hAnsi="Calibri"/>
      <w:color w:val="auto"/>
      <w:szCs w:val="24"/>
    </w:rPr>
  </w:style>
  <w:style w:type="paragraph" w:customStyle="1" w:styleId="694">
    <w:name w:val="xl35"/>
    <w:basedOn w:val="1"/>
    <w:qFormat/>
    <w:uiPriority w:val="0"/>
    <w:pPr>
      <w:pBdr>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Arial Unicode MS"/>
      <w:sz w:val="18"/>
      <w:szCs w:val="18"/>
    </w:rPr>
  </w:style>
  <w:style w:type="paragraph" w:customStyle="1" w:styleId="695">
    <w:name w:val="p16"/>
    <w:basedOn w:val="1"/>
    <w:qFormat/>
    <w:uiPriority w:val="0"/>
    <w:pPr>
      <w:spacing w:line="386" w:lineRule="atLeast"/>
    </w:pPr>
    <w:rPr>
      <w:rFonts w:ascii="Arial" w:hAnsi="Arial"/>
      <w:sz w:val="25"/>
    </w:rPr>
  </w:style>
  <w:style w:type="paragraph" w:customStyle="1" w:styleId="696">
    <w:name w:val="样式 标题 2 + 左侧:  0 厘米 首行缩进:  0 厘米"/>
    <w:basedOn w:val="3"/>
    <w:qFormat/>
    <w:uiPriority w:val="0"/>
    <w:pPr>
      <w:widowControl w:val="0"/>
      <w:tabs>
        <w:tab w:val="left" w:pos="600"/>
      </w:tabs>
      <w:adjustRightInd w:val="0"/>
      <w:snapToGrid w:val="0"/>
      <w:spacing w:before="240" w:after="160" w:line="240" w:lineRule="auto"/>
      <w:ind w:left="707" w:hanging="707"/>
      <w:textAlignment w:val="baseline"/>
    </w:pPr>
    <w:rPr>
      <w:rFonts w:ascii="仿宋_GB2312" w:hAnsi="宋体" w:cs="宋体"/>
      <w:bCs w:val="0"/>
      <w:spacing w:val="4"/>
      <w:kern w:val="2"/>
      <w:sz w:val="28"/>
      <w:szCs w:val="28"/>
    </w:rPr>
  </w:style>
  <w:style w:type="paragraph" w:customStyle="1" w:styleId="697">
    <w:name w:val="xl43"/>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sz w:val="18"/>
      <w:szCs w:val="18"/>
    </w:rPr>
  </w:style>
  <w:style w:type="paragraph" w:customStyle="1" w:styleId="698">
    <w:name w:val="Char12"/>
    <w:basedOn w:val="1"/>
    <w:qFormat/>
    <w:uiPriority w:val="0"/>
    <w:pPr>
      <w:spacing w:after="160" w:line="240" w:lineRule="exact"/>
      <w:ind w:left="-62" w:right="36" w:rightChars="15"/>
    </w:pPr>
    <w:rPr>
      <w:rFonts w:ascii="Arial" w:hAnsi="Arial" w:eastAsia="Times New Roman"/>
      <w:lang w:eastAsia="en-US"/>
    </w:rPr>
  </w:style>
  <w:style w:type="paragraph" w:customStyle="1" w:styleId="699">
    <w:name w:val="样式 标题 3 + (中文) 黑体 小四 非加粗 段前: 7.8 磅 段后: 0 磅 行距: 固定值 20 磅"/>
    <w:basedOn w:val="4"/>
    <w:qFormat/>
    <w:uiPriority w:val="0"/>
    <w:pPr>
      <w:widowControl w:val="0"/>
      <w:spacing w:before="0" w:after="0" w:line="400" w:lineRule="exact"/>
      <w:jc w:val="both"/>
    </w:pPr>
    <w:rPr>
      <w:rFonts w:eastAsia="黑体" w:cs="宋体"/>
      <w:b w:val="0"/>
      <w:bCs w:val="0"/>
      <w:kern w:val="2"/>
      <w:sz w:val="24"/>
      <w:szCs w:val="20"/>
    </w:rPr>
  </w:style>
  <w:style w:type="paragraph" w:customStyle="1" w:styleId="700">
    <w:name w:val="纯文本1"/>
    <w:basedOn w:val="1"/>
    <w:qFormat/>
    <w:uiPriority w:val="0"/>
    <w:pPr>
      <w:widowControl w:val="0"/>
      <w:jc w:val="both"/>
    </w:pPr>
    <w:rPr>
      <w:rFonts w:ascii="宋体" w:hAnsi="Courier New" w:cs="Courier New"/>
      <w:kern w:val="2"/>
      <w:sz w:val="21"/>
      <w:szCs w:val="21"/>
    </w:rPr>
  </w:style>
  <w:style w:type="paragraph" w:customStyle="1" w:styleId="701">
    <w:name w:val="表标题"/>
    <w:basedOn w:val="1"/>
    <w:qFormat/>
    <w:uiPriority w:val="0"/>
    <w:pPr>
      <w:spacing w:before="312" w:beforeLines="100" w:line="280" w:lineRule="exact"/>
      <w:ind w:firstLine="50" w:firstLineChars="50"/>
    </w:pPr>
    <w:rPr>
      <w:rFonts w:eastAsia="黑体"/>
      <w:sz w:val="24"/>
      <w:szCs w:val="24"/>
    </w:rPr>
  </w:style>
  <w:style w:type="paragraph" w:customStyle="1" w:styleId="702">
    <w:name w:val="Char Char Char Char1 Char Char Char1"/>
    <w:basedOn w:val="1"/>
    <w:qFormat/>
    <w:uiPriority w:val="0"/>
    <w:pPr>
      <w:widowControl w:val="0"/>
      <w:spacing w:line="240" w:lineRule="atLeast"/>
      <w:ind w:left="420" w:firstLine="420"/>
      <w:jc w:val="both"/>
    </w:pPr>
    <w:rPr>
      <w:sz w:val="21"/>
      <w:szCs w:val="21"/>
    </w:rPr>
  </w:style>
  <w:style w:type="paragraph" w:customStyle="1" w:styleId="703">
    <w:name w:val="CM171"/>
    <w:basedOn w:val="102"/>
    <w:next w:val="102"/>
    <w:qFormat/>
    <w:uiPriority w:val="0"/>
    <w:pPr>
      <w:adjustRightInd w:val="0"/>
      <w:spacing w:line="440" w:lineRule="atLeast"/>
    </w:pPr>
    <w:rPr>
      <w:rFonts w:hAnsi="Calibri"/>
      <w:color w:val="auto"/>
      <w:szCs w:val="24"/>
    </w:rPr>
  </w:style>
  <w:style w:type="paragraph" w:customStyle="1" w:styleId="704">
    <w:name w:val="CM125"/>
    <w:basedOn w:val="102"/>
    <w:next w:val="102"/>
    <w:qFormat/>
    <w:uiPriority w:val="0"/>
    <w:pPr>
      <w:adjustRightInd w:val="0"/>
      <w:spacing w:line="273" w:lineRule="atLeast"/>
    </w:pPr>
    <w:rPr>
      <w:rFonts w:hAnsi="Calibri"/>
      <w:color w:val="auto"/>
      <w:szCs w:val="24"/>
    </w:rPr>
  </w:style>
  <w:style w:type="paragraph" w:customStyle="1" w:styleId="705">
    <w:name w:val="CM4"/>
    <w:basedOn w:val="102"/>
    <w:next w:val="102"/>
    <w:qFormat/>
    <w:uiPriority w:val="0"/>
    <w:pPr>
      <w:adjustRightInd w:val="0"/>
      <w:spacing w:line="500" w:lineRule="atLeast"/>
    </w:pPr>
    <w:rPr>
      <w:rFonts w:hAnsi="Calibri"/>
      <w:color w:val="auto"/>
      <w:szCs w:val="24"/>
    </w:rPr>
  </w:style>
  <w:style w:type="paragraph" w:customStyle="1" w:styleId="706">
    <w:name w:val="Char2 Char Char Char Char Char Char2"/>
    <w:basedOn w:val="17"/>
    <w:qFormat/>
    <w:uiPriority w:val="0"/>
    <w:pPr>
      <w:widowControl w:val="0"/>
      <w:shd w:val="clear" w:color="auto" w:fill="000080"/>
      <w:jc w:val="both"/>
    </w:pPr>
    <w:rPr>
      <w:rFonts w:ascii="Tahoma" w:hAnsi="Tahoma"/>
      <w:sz w:val="24"/>
      <w:szCs w:val="24"/>
    </w:rPr>
  </w:style>
  <w:style w:type="paragraph" w:customStyle="1" w:styleId="707">
    <w:name w:val="CM177"/>
    <w:basedOn w:val="102"/>
    <w:next w:val="102"/>
    <w:qFormat/>
    <w:uiPriority w:val="0"/>
    <w:pPr>
      <w:adjustRightInd w:val="0"/>
    </w:pPr>
    <w:rPr>
      <w:rFonts w:hAnsi="Calibri"/>
      <w:color w:val="auto"/>
      <w:szCs w:val="24"/>
    </w:rPr>
  </w:style>
  <w:style w:type="paragraph" w:customStyle="1" w:styleId="708">
    <w:name w:val="CM97"/>
    <w:basedOn w:val="102"/>
    <w:next w:val="102"/>
    <w:qFormat/>
    <w:uiPriority w:val="0"/>
    <w:pPr>
      <w:adjustRightInd w:val="0"/>
      <w:spacing w:line="346" w:lineRule="atLeast"/>
    </w:pPr>
    <w:rPr>
      <w:rFonts w:hAnsi="Calibri"/>
      <w:color w:val="auto"/>
      <w:szCs w:val="24"/>
    </w:rPr>
  </w:style>
  <w:style w:type="paragraph" w:customStyle="1" w:styleId="709">
    <w:name w:val="xl30"/>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sz w:val="18"/>
      <w:szCs w:val="18"/>
    </w:rPr>
  </w:style>
  <w:style w:type="paragraph" w:customStyle="1" w:styleId="710">
    <w:name w:val="样式 正文缩进正文（首行缩进两字）特点ALT+Z表正文正文非缩进四号段1Normal Indent Char2...2"/>
    <w:basedOn w:val="4"/>
    <w:qFormat/>
    <w:uiPriority w:val="0"/>
    <w:pPr>
      <w:widowControl w:val="0"/>
      <w:tabs>
        <w:tab w:val="left" w:pos="1740"/>
      </w:tabs>
      <w:adjustRightInd w:val="0"/>
      <w:spacing w:before="360" w:after="120" w:line="360" w:lineRule="auto"/>
      <w:ind w:left="1740" w:hanging="420"/>
      <w:jc w:val="center"/>
      <w:textAlignment w:val="baseline"/>
    </w:pPr>
    <w:rPr>
      <w:rFonts w:ascii="宋体" w:hAnsi="宋体"/>
      <w:bCs w:val="0"/>
      <w:sz w:val="28"/>
      <w:szCs w:val="28"/>
    </w:rPr>
  </w:style>
  <w:style w:type="paragraph" w:customStyle="1" w:styleId="711">
    <w:name w:val="font7"/>
    <w:basedOn w:val="1"/>
    <w:qFormat/>
    <w:uiPriority w:val="0"/>
    <w:pPr>
      <w:spacing w:before="100" w:beforeAutospacing="1" w:after="100" w:afterAutospacing="1"/>
    </w:pPr>
    <w:rPr>
      <w:rFonts w:hint="eastAsia" w:ascii="宋体" w:hAnsi="宋体" w:cs="Arial Unicode MS"/>
      <w:b/>
      <w:bCs/>
      <w:sz w:val="22"/>
      <w:szCs w:val="22"/>
    </w:rPr>
  </w:style>
  <w:style w:type="paragraph" w:customStyle="1" w:styleId="712">
    <w:name w:val="CM186"/>
    <w:basedOn w:val="102"/>
    <w:next w:val="102"/>
    <w:qFormat/>
    <w:uiPriority w:val="0"/>
    <w:pPr>
      <w:adjustRightInd w:val="0"/>
    </w:pPr>
    <w:rPr>
      <w:rFonts w:hAnsi="Calibri"/>
      <w:color w:val="auto"/>
      <w:szCs w:val="24"/>
    </w:rPr>
  </w:style>
  <w:style w:type="paragraph" w:customStyle="1" w:styleId="713">
    <w:name w:val="No Spacing1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14">
    <w:name w:val="xl39"/>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sz w:val="18"/>
      <w:szCs w:val="18"/>
    </w:rPr>
  </w:style>
  <w:style w:type="paragraph" w:customStyle="1" w:styleId="715">
    <w:name w:val="Char Char Char Char11"/>
    <w:basedOn w:val="1"/>
    <w:qFormat/>
    <w:uiPriority w:val="0"/>
    <w:pPr>
      <w:widowControl w:val="0"/>
      <w:spacing w:line="240" w:lineRule="atLeast"/>
      <w:ind w:left="420" w:firstLine="420"/>
      <w:jc w:val="both"/>
    </w:pPr>
    <w:rPr>
      <w:sz w:val="21"/>
      <w:szCs w:val="21"/>
    </w:rPr>
  </w:style>
  <w:style w:type="paragraph" w:customStyle="1" w:styleId="716">
    <w:name w:val="CM21"/>
    <w:basedOn w:val="102"/>
    <w:next w:val="102"/>
    <w:qFormat/>
    <w:uiPriority w:val="0"/>
    <w:pPr>
      <w:adjustRightInd w:val="0"/>
    </w:pPr>
    <w:rPr>
      <w:rFonts w:hAnsi="Calibri"/>
      <w:color w:val="auto"/>
      <w:szCs w:val="24"/>
    </w:rPr>
  </w:style>
  <w:style w:type="paragraph" w:customStyle="1" w:styleId="717">
    <w:name w:val="TOC 标题4"/>
    <w:basedOn w:val="2"/>
    <w:next w:val="1"/>
    <w:qFormat/>
    <w:uiPriority w:val="0"/>
    <w:pPr>
      <w:spacing w:before="480" w:after="0" w:line="276" w:lineRule="auto"/>
      <w:outlineLvl w:val="9"/>
    </w:pPr>
    <w:rPr>
      <w:rFonts w:ascii="Cambria" w:hAnsi="Cambria"/>
      <w:color w:val="365F91"/>
      <w:kern w:val="0"/>
      <w:sz w:val="28"/>
      <w:szCs w:val="28"/>
    </w:rPr>
  </w:style>
  <w:style w:type="paragraph" w:customStyle="1" w:styleId="718">
    <w:name w:val="样式 正文缩进正文（首行缩进两字）特点ALT+Z表正文正文非缩进四号段1Normal Indent Char2...4"/>
    <w:basedOn w:val="22"/>
    <w:qFormat/>
    <w:uiPriority w:val="0"/>
    <w:pPr>
      <w:tabs>
        <w:tab w:val="left" w:pos="0"/>
        <w:tab w:val="center" w:pos="360"/>
        <w:tab w:val="left" w:pos="993"/>
        <w:tab w:val="left" w:pos="1134"/>
      </w:tabs>
      <w:spacing w:after="0" w:line="300" w:lineRule="auto"/>
      <w:ind w:left="0" w:leftChars="0"/>
      <w:jc w:val="both"/>
    </w:pPr>
    <w:rPr>
      <w:rFonts w:ascii="宋体" w:hAnsi="宋体"/>
      <w:sz w:val="24"/>
    </w:rPr>
  </w:style>
  <w:style w:type="paragraph" w:customStyle="1" w:styleId="719">
    <w:name w:val="Revision1"/>
    <w:qFormat/>
    <w:uiPriority w:val="0"/>
    <w:rPr>
      <w:rFonts w:ascii="Times New Roman" w:hAnsi="Times New Roman" w:eastAsia="宋体" w:cs="Times New Roman"/>
      <w:kern w:val="2"/>
      <w:sz w:val="21"/>
      <w:szCs w:val="21"/>
      <w:lang w:val="en-US" w:eastAsia="zh-CN" w:bidi="ar-SA"/>
    </w:rPr>
  </w:style>
  <w:style w:type="paragraph" w:customStyle="1" w:styleId="720">
    <w:name w:val="a6"/>
    <w:basedOn w:val="1"/>
    <w:qFormat/>
    <w:uiPriority w:val="0"/>
    <w:pPr>
      <w:spacing w:before="100" w:beforeAutospacing="1" w:after="100" w:afterAutospacing="1"/>
    </w:pPr>
    <w:rPr>
      <w:rFonts w:ascii="宋体" w:hAnsi="宋体" w:cs="宋体"/>
      <w:sz w:val="24"/>
      <w:szCs w:val="24"/>
    </w:rPr>
  </w:style>
  <w:style w:type="paragraph" w:customStyle="1" w:styleId="721">
    <w:name w:val="CM79"/>
    <w:basedOn w:val="102"/>
    <w:next w:val="102"/>
    <w:qFormat/>
    <w:uiPriority w:val="0"/>
    <w:pPr>
      <w:adjustRightInd w:val="0"/>
      <w:spacing w:line="796" w:lineRule="atLeast"/>
    </w:pPr>
    <w:rPr>
      <w:rFonts w:hAnsi="Calibri"/>
      <w:color w:val="auto"/>
      <w:szCs w:val="24"/>
    </w:rPr>
  </w:style>
  <w:style w:type="paragraph" w:customStyle="1" w:styleId="722">
    <w:name w:val="CM28"/>
    <w:basedOn w:val="102"/>
    <w:next w:val="102"/>
    <w:qFormat/>
    <w:uiPriority w:val="0"/>
    <w:pPr>
      <w:adjustRightInd w:val="0"/>
      <w:spacing w:line="313" w:lineRule="atLeast"/>
    </w:pPr>
    <w:rPr>
      <w:rFonts w:hAnsi="Calibri"/>
      <w:color w:val="auto"/>
      <w:szCs w:val="24"/>
    </w:rPr>
  </w:style>
  <w:style w:type="paragraph" w:customStyle="1" w:styleId="723">
    <w:name w:val="1"/>
    <w:basedOn w:val="1"/>
    <w:next w:val="24"/>
    <w:qFormat/>
    <w:uiPriority w:val="0"/>
    <w:pPr>
      <w:widowControl w:val="0"/>
      <w:adjustRightInd w:val="0"/>
      <w:ind w:left="420" w:right="33"/>
      <w:textAlignment w:val="baseline"/>
    </w:pPr>
    <w:rPr>
      <w:sz w:val="24"/>
    </w:rPr>
  </w:style>
  <w:style w:type="paragraph" w:customStyle="1" w:styleId="724">
    <w:name w:val="样式 标题 2刘兵2第一节 标题 2标题3技术标题22nd levelh2Header 2l2H2sect ..."/>
    <w:basedOn w:val="3"/>
    <w:qFormat/>
    <w:uiPriority w:val="0"/>
    <w:pPr>
      <w:keepNext w:val="0"/>
      <w:keepLines w:val="0"/>
      <w:widowControl w:val="0"/>
      <w:numPr>
        <w:ilvl w:val="2"/>
        <w:numId w:val="5"/>
      </w:numPr>
      <w:tabs>
        <w:tab w:val="left" w:pos="360"/>
        <w:tab w:val="left" w:pos="1740"/>
      </w:tabs>
      <w:adjustRightInd w:val="0"/>
      <w:spacing w:before="240" w:after="240" w:line="360" w:lineRule="auto"/>
      <w:textAlignment w:val="center"/>
    </w:pPr>
    <w:rPr>
      <w:rFonts w:ascii="黑体" w:cs="宋体"/>
      <w:kern w:val="2"/>
      <w:sz w:val="24"/>
      <w:szCs w:val="20"/>
    </w:rPr>
  </w:style>
  <w:style w:type="paragraph" w:customStyle="1" w:styleId="725">
    <w:name w:val="Char Char Char Char1 Char Char Char Char Char1 Char Char Char1 Char2"/>
    <w:basedOn w:val="1"/>
    <w:qFormat/>
    <w:uiPriority w:val="0"/>
    <w:pPr>
      <w:widowControl w:val="0"/>
      <w:spacing w:line="240" w:lineRule="atLeast"/>
      <w:ind w:left="420" w:firstLine="420"/>
      <w:jc w:val="both"/>
    </w:pPr>
    <w:rPr>
      <w:kern w:val="2"/>
      <w:sz w:val="21"/>
      <w:szCs w:val="24"/>
    </w:rPr>
  </w:style>
  <w:style w:type="paragraph" w:customStyle="1" w:styleId="726">
    <w:name w:val="reader-word-layer"/>
    <w:basedOn w:val="1"/>
    <w:qFormat/>
    <w:uiPriority w:val="0"/>
    <w:pPr>
      <w:spacing w:before="100" w:beforeAutospacing="1" w:after="100" w:afterAutospacing="1"/>
    </w:pPr>
    <w:rPr>
      <w:rFonts w:ascii="宋体" w:hAnsi="宋体" w:cs="宋体"/>
      <w:sz w:val="24"/>
      <w:szCs w:val="24"/>
    </w:rPr>
  </w:style>
  <w:style w:type="paragraph" w:customStyle="1" w:styleId="727">
    <w:name w:val="Char61"/>
    <w:basedOn w:val="1"/>
    <w:qFormat/>
    <w:uiPriority w:val="0"/>
    <w:pPr>
      <w:widowControl w:val="0"/>
      <w:tabs>
        <w:tab w:val="left" w:pos="794"/>
        <w:tab w:val="left" w:pos="1191"/>
        <w:tab w:val="left" w:pos="1588"/>
        <w:tab w:val="left" w:pos="1985"/>
      </w:tabs>
      <w:autoSpaceDE w:val="0"/>
      <w:autoSpaceDN w:val="0"/>
      <w:adjustRightInd w:val="0"/>
      <w:spacing w:before="136"/>
      <w:jc w:val="both"/>
    </w:pPr>
    <w:rPr>
      <w:rFonts w:ascii="Tahoma" w:hAnsi="Tahoma"/>
      <w:sz w:val="24"/>
      <w:lang w:val="en-GB"/>
    </w:rPr>
  </w:style>
  <w:style w:type="paragraph" w:customStyle="1" w:styleId="728">
    <w:name w:val="表文1"/>
    <w:basedOn w:val="1"/>
    <w:qFormat/>
    <w:uiPriority w:val="0"/>
    <w:pPr>
      <w:widowControl w:val="0"/>
      <w:autoSpaceDE w:val="0"/>
      <w:autoSpaceDN w:val="0"/>
      <w:adjustRightInd w:val="0"/>
      <w:snapToGrid w:val="0"/>
      <w:spacing w:before="120" w:after="60" w:line="312" w:lineRule="auto"/>
      <w:jc w:val="center"/>
      <w:textAlignment w:val="baseline"/>
    </w:pPr>
    <w:rPr>
      <w:rFonts w:ascii="Arial" w:hAnsi="Arial"/>
      <w:sz w:val="24"/>
    </w:rPr>
  </w:style>
  <w:style w:type="paragraph" w:customStyle="1" w:styleId="729">
    <w:name w:val="Normal_2"/>
    <w:qFormat/>
    <w:uiPriority w:val="0"/>
    <w:pPr>
      <w:widowControl w:val="0"/>
      <w:jc w:val="both"/>
    </w:pPr>
    <w:rPr>
      <w:rFonts w:ascii="Times New Roman" w:hAnsi="Times New Roman" w:eastAsia="宋体" w:cs="Times New Roman"/>
      <w:lang w:val="en-US" w:eastAsia="zh-CN" w:bidi="ar-SA"/>
    </w:rPr>
  </w:style>
  <w:style w:type="paragraph" w:customStyle="1" w:styleId="730">
    <w:name w:val="标书正文格式"/>
    <w:qFormat/>
    <w:uiPriority w:val="0"/>
    <w:pPr>
      <w:ind w:firstLine="200" w:firstLineChars="200"/>
    </w:pPr>
    <w:rPr>
      <w:rFonts w:ascii="Times New Roman" w:hAnsi="Times New Roman" w:eastAsia="宋体" w:cs="Times New Roman"/>
      <w:kern w:val="2"/>
      <w:sz w:val="28"/>
      <w:szCs w:val="28"/>
      <w:lang w:val="en-US" w:eastAsia="zh-CN" w:bidi="ar-SA"/>
    </w:rPr>
  </w:style>
  <w:style w:type="paragraph" w:customStyle="1" w:styleId="731">
    <w:name w:val="Char33"/>
    <w:basedOn w:val="1"/>
    <w:qFormat/>
    <w:uiPriority w:val="0"/>
    <w:pPr>
      <w:widowControl w:val="0"/>
      <w:tabs>
        <w:tab w:val="left" w:pos="794"/>
        <w:tab w:val="left" w:pos="1191"/>
        <w:tab w:val="left" w:pos="1588"/>
        <w:tab w:val="left" w:pos="1985"/>
      </w:tabs>
      <w:autoSpaceDE w:val="0"/>
      <w:autoSpaceDN w:val="0"/>
      <w:adjustRightInd w:val="0"/>
      <w:spacing w:before="136"/>
      <w:jc w:val="both"/>
    </w:pPr>
    <w:rPr>
      <w:rFonts w:ascii="Tahoma" w:hAnsi="Tahoma"/>
      <w:sz w:val="24"/>
      <w:lang w:val="en-GB"/>
    </w:rPr>
  </w:style>
  <w:style w:type="paragraph" w:customStyle="1" w:styleId="732">
    <w:name w:val="CM205"/>
    <w:basedOn w:val="102"/>
    <w:next w:val="102"/>
    <w:qFormat/>
    <w:uiPriority w:val="0"/>
    <w:pPr>
      <w:adjustRightInd w:val="0"/>
    </w:pPr>
    <w:rPr>
      <w:rFonts w:hAnsi="Calibri"/>
      <w:color w:val="auto"/>
      <w:szCs w:val="24"/>
    </w:rPr>
  </w:style>
  <w:style w:type="paragraph" w:customStyle="1" w:styleId="733">
    <w:name w:val="CM88"/>
    <w:basedOn w:val="102"/>
    <w:next w:val="102"/>
    <w:qFormat/>
    <w:uiPriority w:val="0"/>
    <w:pPr>
      <w:adjustRightInd w:val="0"/>
      <w:spacing w:line="551" w:lineRule="atLeast"/>
    </w:pPr>
    <w:rPr>
      <w:rFonts w:hAnsi="Calibri"/>
      <w:color w:val="auto"/>
      <w:szCs w:val="24"/>
    </w:rPr>
  </w:style>
  <w:style w:type="paragraph" w:customStyle="1" w:styleId="734">
    <w:name w:val="p14"/>
    <w:basedOn w:val="1"/>
    <w:qFormat/>
    <w:uiPriority w:val="0"/>
    <w:pPr>
      <w:spacing w:line="480" w:lineRule="auto"/>
    </w:pPr>
    <w:rPr>
      <w:rFonts w:ascii="宋体" w:hAnsi="宋体" w:cs="宋体"/>
      <w:sz w:val="21"/>
      <w:szCs w:val="21"/>
    </w:rPr>
  </w:style>
  <w:style w:type="paragraph" w:customStyle="1" w:styleId="735">
    <w:name w:val="样式 标题 1 + 宋体 居中 段前: 48 磅 段后: 12 磅 行距: 1.5 倍行距"/>
    <w:basedOn w:val="2"/>
    <w:qFormat/>
    <w:uiPriority w:val="0"/>
    <w:pPr>
      <w:widowControl w:val="0"/>
      <w:adjustRightInd w:val="0"/>
      <w:spacing w:before="100" w:beforeAutospacing="1" w:after="0" w:line="360" w:lineRule="auto"/>
      <w:jc w:val="center"/>
      <w:textAlignment w:val="baseline"/>
    </w:pPr>
    <w:rPr>
      <w:rFonts w:ascii="宋体" w:hAnsi="宋体" w:cs="宋体"/>
      <w:snapToGrid w:val="0"/>
      <w:kern w:val="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274E76B-0753-41D9-A9DD-AAEFCF495DC8}">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37</Pages>
  <Words>4535</Words>
  <Characters>5194</Characters>
  <Lines>779</Lines>
  <Paragraphs>826</Paragraphs>
  <TotalTime>9</TotalTime>
  <ScaleCrop>false</ScaleCrop>
  <LinksUpToDate>false</LinksUpToDate>
  <CharactersWithSpaces>5325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2026-10-19T07:16:00Z</dcterms:created>
  <dc:creator>lee</dc:creator>
  <cp:lastModifiedBy>阿一</cp:lastModifiedBy>
  <cp:lastPrinted>2024-03-18T07:05:00Z</cp:lastPrinted>
  <dcterms:modified xsi:type="dcterms:W3CDTF">2026-10-26T03:31:32Z</dcterms:modified>
  <dc:title>备案号：</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_DocHome">
    <vt:r8>-1075576825</vt:r8>
  </property>
  <property fmtid="{D5CDD505-2E9C-101B-9397-08002B2CF9AE}" pid="4" name="ICV">
    <vt:lpwstr>178C9D3057DA42A883D2828D155D6A7F_13</vt:lpwstr>
  </property>
  <property fmtid="{D5CDD505-2E9C-101B-9397-08002B2CF9AE}" pid="5" name="KSOTemplateDocerSaveRecord">
    <vt:lpwstr>eyJoZGlkIjoiMWI4NWYzZGFkNDJiYTY1ODFjMTg3YjM5MmNjODNlNDkiLCJ1c2VySWQiOiI0OTgwNzM0ODMifQ==</vt:lpwstr>
  </property>
</Properties>
</file>